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4A_117/2025 vom 30. Mai 2025</w:t>
      </w:r>
    </w:p>
    <w:p>
      <w:r>
        <w:t>Bundesgericht, 2025-05-30, DE</w:t>
      </w:r>
    </w:p>
    <w:p>
      <w:r>
        <w:rPr>
          <w:b/>
        </w:rPr>
        <w:t xml:space="preserve">Quelle: </w:t>
      </w:r>
      <w:r>
        <w:t>https://mcp.opencaselaw.ch/entscheid/bger_4A_117_2025</w:t>
      </w:r>
    </w:p>
    <w:p>
      <w:r>
        <w:t>FR: TF 4A_117/2025 du 30 mai 2025</w:t>
      </w:r>
    </w:p>
    <w:p>
      <w:r>
        <w:t>IT: TF 4A_117/2025 del 30 maggio 2025</w:t>
      </w:r>
    </w:p>
    <w:p>
      <w:pPr>
        <w:pStyle w:val="Heading2"/>
      </w:pPr>
      <w:r>
        <w:t>Erwägungen</w:t>
      </w:r>
    </w:p>
    <w:p>
      <w:r>
        <w:rPr>
          <w:b/>
        </w:rPr>
        <w:t>E. 1</w:t>
      </w:r>
    </w:p>
    <w:p>
      <w:r>
        <w:t>Das angefochtene Urteil des Handelsgerichts ist ein Endentscheid ( Art. 90 BGG ) einer einzigen kantonalen Instanz im Sinne von Art. 75 Abs. 2 lit. b BGG . Dagegen steht die Beschwerde in Zivilsachen offen, gemäss Art. 74 Abs. 2 lit. b BGG unabhängig vom Streitwert. Unter Vorbehalt einer rechtsgenüglichen Begründung ( Art. 42 Abs. 2 und Art. 106 Abs. 2 BGG ) ist auf die Beschwerde einzutreten.</w:t>
      </w:r>
    </w:p>
    <w:p>
      <w:r>
        <w:rPr>
          <w:b/>
        </w:rPr>
        <w:t>E. 2.1</w:t>
      </w:r>
    </w:p>
    <w:p>
      <w:r>
        <w:t>Mit Beschwerde in Zivilsachen können Rechtsverletzungen nach Art. 95 und Art.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qualifizierte das Vertragsverhältnis der Parteien als gemischten Vertrag mit auftragsrechtlichen und werkvertraglichen Elementen. Der Vertrag sei durch die von der Beschwerdegegnerin per Ende 2022 ausgesprochene Kündigung beendet worden. Bis zu diesem Zeitpunkt habe die Beschwerdegegnerin Anspruch auf Bezahlung des monatlichen Pauschalhonorars zuzüglich Mehrwertsteuer im offenen Betrag von Fr. 39'264.05.</w:t>
      </w:r>
    </w:p>
    <w:p>
      <w:r>
        <w:t>Die dagegen vorgebrachten Einwände der Beschwerdeführerin verwarf die Vorinstanz allesamt:</w:t>
      </w:r>
    </w:p>
    <w:p>
      <w:r>
        <w:t>Zunächst verneinte sie, dass die Beschwerdeführerin den Vertrag (konkludent) schon früher beendet habe. Die Anwendbarkeit des zwingenden, jederzeitigen Kündigungsrechts nach Art. 404 Abs. 1 OR scheitere bereits daran, dass die Beschwerdeführerin kein besonderes Vertrauensverhältnis zwischen den Parteien dargetan habe. Auch liege keine Vertragsverletzung durch die Beschwerdegegnerin vor, weshalb keine fristlose Kündigung habe erfolgen können. Selbst wenn die Beschwerdeführerin berechtigt gewesen wäre, den Vertrag (fristlos) zu kündigen, fehle es an einer entsprechenden (konkludenten) Willensäusserung.</w:t>
      </w:r>
    </w:p>
    <w:p>
      <w:r>
        <w:t>Die Einrede des nichterfüllten Vertrags gemäss Art. 82 OR blieb erfolglos, weil die Beschwerdeführerin nicht dargetan hat, dass die Beschwerdegegnerin in der Zeit vom 24. Februar 2021 bis 10. Dezember 2021 einer wesentlichen Vertragspflicht nicht nachgekommen ist.</w:t>
      </w:r>
    </w:p>
    <w:p>
      <w:r>
        <w:t>Die Verrechnungsforderung leitete die Beschwerdeführerin aus der behaupteten Vertragsverletzung ab. Nachdem eine solche nicht erstellt war, scheiterte auch die Verrechnungseinrede.</w:t>
      </w:r>
    </w:p>
    <w:p>
      <w:r>
        <w:rPr>
          <w:b/>
        </w:rPr>
        <w:t>E. 4</w:t>
      </w:r>
    </w:p>
    <w:p>
      <w:r>
        <w:t>Die Beschwerdeführerin beharrt vor Bundesgericht auf ihren Einwänden und wirft der Vorinstanz vor, sie in "falscher" Entscheidung verworfen zu haben.</w:t>
      </w:r>
    </w:p>
    <w:p>
      <w:r>
        <w:rPr>
          <w:b/>
        </w:rPr>
        <w:t>E. 4.1</w:t>
      </w:r>
    </w:p>
    <w:p>
      <w:r>
        <w:t>Sie pflichtet der Vorinstanz zwar bei, dass es sich beim streitgegenständlichen Vertragsverhältnis um einen gemischten Vertrag mit werkvertraglichen und auftragsrechtlichen Elementen handelt, ebenso, dass die Anwendbarkeit des jederzeitigen Kündigungsrechts nach Art. 404 Abs. 1 OR ein besonderes Vertrauensverhältnis voraussetzt. Sie moniert aber, entgegen der Vorinstanz sei ein solches besonderes Vertrauensverhältnis zu bejahen.</w:t>
      </w:r>
    </w:p>
    <w:p>
      <w:r>
        <w:t>Ihre diesbezüglichen Ausführungen sind nicht zielführend. Gemäss Vorinstanz machte die Beschwerdeführerin nicht geltend, es liege ein spezifisches, einem Auftrag inhärentes, mithin personenbezogenes, Vertrauensverhältnis vor. Die Vorinstanz vermisste somit bereits substanziierte Behauptungen der Beschwerdeführerin, dass ein auftragsspezifisches Vertrauensverhältnis bestand. Diese verbindliche Feststellung zum Prozesssachverhalt widerlegt die Beschwerdeführerin nicht rechtsgenüglich (vgl. E. 2.2). Wegen des im bundesgerichtlichen Beschwerdeverfahren geltenden Novenverbots ( Art. 99 Abs. 1 BGG ) kann sie mit ihren diesbezüglichen Vorbringen in der Beschwerde nicht gehört werden. Somit bleibt es dabei, dass es von vornherein an der notwendigen Voraussetzung eines auftragsspezifischen Vertrauensverhältnisses für die Anwendbarkeit von Art. 404 Abs. 1 OR fehlt.</w:t>
      </w:r>
    </w:p>
    <w:p>
      <w:r>
        <w:rPr>
          <w:b/>
        </w:rPr>
        <w:t>E. 4.2</w:t>
      </w:r>
    </w:p>
    <w:p>
      <w:r>
        <w:t>Auch die Kritik an der Verneinung einer Vertragsverletzung scheitert an den verbindlichen Feststellungen der Vorinstanz. Demgemäss machte die Beschwerdeführerin eine Verletzung von Ziffer 12 des Vertrags (Sicherstellungspflicht, dass vertrauliche Informationen nicht an Dritte weitergegeben und nicht öffentlich gemacht werden) sowie der Auskunfts- und Rechenschaftspflicht geltend, weil die Beschwerdegegnerin es trotz Nachfrage seitens der Beschwerdeführerin unterlassen habe, diese darüber zu informieren, dass die am 11. Februar 2021 abgewählten Mitglieder der Geschäftsleitung bzw. des Verwaltungsrats der Beschwerdeführerin, C.________ und D.________, am 22. Februar 2021 einen umfassenden Datendownload getätigt hätten.</w:t>
      </w:r>
    </w:p>
    <w:p>
      <w:r>
        <w:t>Die Vorinstanz hielt zunächst fest, dass die Beschwerdegegnerin weder vertraglich noch auftragsrechtlich verpflichtet war, allfällige unberechtigte Handlungen von Personen, die bei der Beschwerdeführerin eine Organfunktion wahrnehmen, aufzuklären. Für den internen Zuständigkeitskonflikt bei der Beschwerdeführerin sei sie nicht verantwortlich. Die Beschwerdeführerin will aber ihre abgewählten Organpersonen, C.________ und D.________, als "Dritte" behandelt wissen. Dies habe die Vorinstanz verkannt. Ihrer Argumentation steht die verbindliche Feststellung entgegen, dass die Abwahl von C.________ und D.________ der Beschwerdegegnerin am 22. Februar 2021, als der Datendownload stattfand, noch nicht bekannt war und ihr auch nicht bekannt sein musste. Sodann sei René Eichenberger zum Zeitpunkt der Vertragsunterzeichnung einer der IT-Kontaktpersonen der Beschwerdeführerin gewesen und habe volle IT-Weisungsbefugnisse gehabt. Aus diesen Feststellungen folgerte die Vorinstanz zu Recht, dass die Beschwerdegegnerin keinen Anlass hatte, C.________ und D.________ Informationen zu verweigern.</w:t>
      </w:r>
    </w:p>
    <w:p>
      <w:r>
        <w:t>Die Vorinstanz verneinte ein vertragswidriges Handeln der Beschwerdegegnerin auch zutreffend,</w:t>
      </w:r>
    </w:p>
    <w:p>
      <w:r>
        <w:t>nachdem diese von der Abwahl Kenntnis erlangt hatte. Die Beschwerdeführerin machte diesbezüglich geltend, die Beschwerdegegnerin habe der neuen Führung der Beschwerdeführerin den Download trotz ausdrücklicher Frage von E.________ vom 24. Februar 2021 nicht gemeldet. Die Vorinstanz verwarf eine Pflicht der Beschwerdegegnerin, die Beschwerdeführerin im Nachhinein über den Download zu informieren u.a. deshalb, weil die Beschwerdeführerin anscheinend am 24. Februar 2021 bereits Kenntnis davon gehabt habe. So wie die Frage von E.________ formuliert sei ("Why did you give them personal copies of A.________ Sharepoint information and their entire inboxes on the 16th of February"?), sei der Gegenstand des Datenzugriffs bereits damals bekannt gewesen und habe sämtliche Informationen auf dem Sharepoint der Beschwerdeführerin sowie die jeweils eigene "Inbox" der genannten Herren umfasst. Vor diesem Hintergrund erachtete es die Vorinstanz nicht als überzeugend, dass die Beschwerdeführerin erst am 10. Dezember 2021 vom Ausmass der Handlung von C.________ Kenntnis erlangt habe, zumal es sich um eigene Daten der Beschwerdeführerin handelte und sie jederzeit hätte darauf zugreifen bzw. sich entsprechend informieren können. Dass und inwiefern diese Würdigung der Vorinstanz willkürlich sein soll, vermag die Beschwerdeführerin nicht aufzuzeigen, indem sie dem Bundesgericht ihre eigene Sicht der Dinge schildert und dabei in unzulässiger Weise über den verbindlichen Sachverhalt hinausgeht.</w:t>
      </w:r>
    </w:p>
    <w:p>
      <w:r>
        <w:t>Es bleibt somit beim Fazit der Vorinstanz, dass es der Beschwerdeführerin nicht gelungen ist, eine Vertragsverletzung durch die Beschwerdegegnerin darzutun.</w:t>
      </w:r>
    </w:p>
    <w:p>
      <w:r>
        <w:rPr>
          <w:b/>
        </w:rPr>
        <w:t>E. 4.3</w:t>
      </w:r>
    </w:p>
    <w:p>
      <w:r>
        <w:t>In einer Eventualbegründung legte die Vorinstanz einlässlich dar, dass ohnehin keine konkludente Äusserung des Kündigungswillens aufgezeigt sei. Es erübrigt sich, auf die dagegen vorgebrachte Kritik einzugehen, nachdem sich bestätigt hat, dass die Beschwerdeführerin weder gestützt auf Art. 404 Abs. 1 OR noch aufgrund einer Vertragsverletzung zur (fristlosen) Beendigung des Vertrags berechtigt war.</w:t>
      </w:r>
    </w:p>
    <w:p>
      <w:r>
        <w:rPr>
          <w:b/>
        </w:rPr>
        <w:t>E. 4.4</w:t>
      </w:r>
    </w:p>
    <w:p>
      <w:r>
        <w:t>Gegen die Verwerfung ihrer Einrede des nichterfüllten Vertrags und ihrer Verrechnungseinrede bringt die Beschwerdeführerin einzig vor, die Vorinstanz habe fälschlicherweise eine Vertragsverletzung verneint. Da entgegen dem angefochtenen Urteil eine solche vorliege, müssten "auch die Aspekte des Leistungsverweigerungsrechts und der Verrechnungseinrede einer Prüfung unterzogen werden".</w:t>
      </w:r>
    </w:p>
    <w:p>
      <w:r>
        <w:t>Da sich jedoch ergeben hat, dass die Beschwerdeführerin keine Vertragsverletzung durch die Beschwerdegegnerin darzutun vermochte, entfällt die postulierte "Prüfung".</w:t>
      </w:r>
    </w:p>
    <w:p>
      <w:r>
        <w:rPr>
          <w:b/>
        </w:rPr>
        <w:t>E. 5</w:t>
      </w:r>
    </w:p>
    <w:p>
      <w:r>
        <w:t>Die Beschwerde erweist sich als unbegründet und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