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117/2022 vom 8. April 2022</w:t>
      </w:r>
    </w:p>
    <w:p>
      <w:r>
        <w:t>Bundesgericht, 2022-04-08, DE</w:t>
      </w:r>
    </w:p>
    <w:p>
      <w:r>
        <w:rPr>
          <w:b/>
        </w:rPr>
        <w:t xml:space="preserve">Quelle: </w:t>
      </w:r>
      <w:r>
        <w:t>https://mcp.opencaselaw.ch/entscheid/bger_4A_117_2022</w:t>
      </w:r>
    </w:p>
    <w:p>
      <w:r>
        <w:t>FR: TF 4A 117/2022 du 8 avril 2022</w:t>
      </w:r>
    </w:p>
    <w:p>
      <w:r>
        <w:t>IT: TF 4A 117/2022 del 8 aprile 2022</w:t>
      </w:r>
    </w:p>
    <w:p>
      <w:pPr>
        <w:pStyle w:val="Heading2"/>
      </w:pPr>
      <w:r>
        <w:t>Regeste</w:t>
      </w:r>
    </w:p>
    <w:p>
      <w:r>
        <w:t>Mietvertrag, | Vertragsrecht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Auf die Berufung der Beschwerdeführerin wurde nicht eingetreten ( Art. 76 BGG ), der Streitwert ist gemäss angefochtenem Entscheid erreicht ( Art. 74 Abs. 1 lit. a BGG ) und die Beschwerdefrist ( Art. 100 Abs. 1 BGG ) ist eingehalten. Auf die Beschwerde in Zivilsachen ist somit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wirft der Vorinstanz vor, sie habe überhöhte Anforderungen an die Berufungsschrift gestellt und damit insbesondere Art. 311 ZPO verletzt.</w:t>
      </w:r>
    </w:p>
    <w:p>
      <w:r>
        <w:rPr>
          <w:b/>
        </w:rPr>
        <w:t>E. 2.1.1</w:t>
      </w:r>
    </w:p>
    <w:p>
      <w:r>
        <w:t>Die Berufung ist nach Art. 311 Abs. 1 ZPO begründet einzureichen. Begründen im Sinne der genannten Vorschrift bedeutet aufzeigen, inwiefern der angefochtene Entscheid als fehlerhaft erachtet wird. Dies setzt voraus, dass der Berufungskläger im Einzelnen die beanstandeten vorinstanzlichen Erwägungen bezeichnet, sich mit diesen argumentativ auseinandersetzt und die Aktenstücke nennt, auf denen seine Kritik beruht. Es genügt nicht, wenn der Berufungskläger bloss auf seine Vorbringen vor der ersten Instanz verweist oder den angefochtenen Entscheid in allgemeiner Art und Weise kritisiert ( BGE 141 III 569 E. 2.3.3; 138 III 374 E. 4.3.1). Freilich darf die Berufungsinstanz bei der Beurteilung von Laieneingaben an das Erfordernis, dass sich der Berufungskläger mit dem angefochtenen Entscheid auseinanderzusetzen hat, keine überspitzten Anforderungen stellen (Urteile 4A_56/2021 vom 30. April 2021 E. 5.1; 5A_577/2020 vom 16. Dezember 2020 E. 5; 5A_635/2015 vom 21. Juni 2016 E. 5.2). Aus dieser Begründungspflicht folgt auch, dass die Berufungsinstanz nicht gehalten ist, den erstinstanzlichen Entscheid losgelöst von konkreten Anhaltspunkten in der Berufungsbegründung von sich aus in jede Richtung hin auf mögliche Mängel zu untersuchen, die eine Gutheissung des Rechtsmittels ermöglichen könnten. Abgesehen von offensichtlichen Mängeln darf sie sich trotz voller Kognition darauf beschränken, die Beanstandungen zu beurteilen, welche die Parteien in ihren schriftlichen Begründungen ( Art. 311 Abs. 1 und Art. 312 Abs. 1 ZPO ) gegen das erstinstanzliche Urteil erheben ( BGE 147 III 176 E. 4.2.1; 142 III 413 E. 2.2.4).</w:t>
      </w:r>
    </w:p>
    <w:p>
      <w:r>
        <w:rPr>
          <w:b/>
        </w:rPr>
        <w:t>E. 2.1.2</w:t>
      </w:r>
    </w:p>
    <w:p>
      <w:r>
        <w:t>Art. 311 ZPO nennt zwar einzig die Begründung, die aber gerade auch der Erläuterung der Begehren dient und diese damit voraussetzt. In der Berufungseingabe sind damit Rechtsbegehren zu stellen. Im Falle von Geldforderungen sind die Berufungsanträge zu beziffern ( BGE 137 III 617 E. 4.2 und 4.3). Es stellt damit grundsätzlich keine formelle Rechtsverweigerung dar, in der Berufungseingabe bestimmte und im Falle von Geldforderungen bezifferte Begehren zu verlangen. Die Rechtsfolge des Nichteintretens auf unbezifferte Begehren steht jedoch unter dem Vorbehalt des überspitzten Formalismus ( Art. 29 Abs. 1 BV ). Daraus folgt, dass auf eine Berufung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 BGE 137 III 617 E. 6.1 und 6.2 mit Hinweisen).</w:t>
      </w:r>
    </w:p>
    <w:p>
      <w:r>
        <w:rPr>
          <w:b/>
        </w:rPr>
        <w:t>E. 2.2</w:t>
      </w:r>
    </w:p>
    <w:p>
      <w:r>
        <w:t>Die Vorinstanz erwog, die Berufung der Beschwerdeführerin enthalte kein Rechtsbegehren bzw. in Bezug auf die Geldforderungen keinen bezifferten Antrag. Die Beschwerdeführerin halte lediglich fest, sie bitte um Neubeurteilung oder Rückweisung an die Vorinstanz. Ein Ausnahmefall, in dem auf eine Berufung mit formell mangelhaftem Rechtsbegehren ausnahmsweise einzutreten sei, liege nicht vor, da sich auch in der Begründung der Rechtsmittelschrift keine konkreten Beträge fänden.</w:t>
      </w:r>
    </w:p>
    <w:p>
      <w:r>
        <w:rPr>
          <w:b/>
        </w:rPr>
        <w:t>E. 2.3</w:t>
      </w:r>
    </w:p>
    <w:p>
      <w:r>
        <w:t>Die Beschwerdeführerin stellt selber nicht in Abrede, im Berufungsverfahren keine bezifferten Anträge gestellt zu haben. Sie vermag keine Missachtung des Verbots des überspitzten Formalismus ( Art. 29 Abs. 1 BV ) aufzuzeigen, indem sie in allgemeiner Weise vorbringt, aus ihrer Berufungseingabe vom 20. Dezember 2022 (gemeint: 2021) gehe "klar hervor, dass man mit dem vorinstanzlichen Entscheid vollumfänglich nicht einverstanden [sei]", dies zumal in der Begründung alle materiell strittigen Themen abgedeckt seien und am Ende eine "Neubeurteilung oder Rückweisung an die Vorinstanz" verlangt werde. Inwiefern sich aus der Berufungsbegründung ergeben soll, welcher konkrete Geldbetrag zuzusprechen wäre, wird daraus jedoch nicht ersichtlich. Daran vermag auch der Hinweis in der Beschwerdeschrift auf eine im erstinstanzlichen Verfahren eingereichte Klagebeilage nichts zu ändern, aus der die einzelnen Schadensposten hervorgehen sollen, zumal kein Bezug zu der hier massgebenden Berufungsbegründung erkennbar ist. Der Vorinstanz ist keine Verletzung von Bundesrecht vorzuwerfen, wenn sie mangels eines bezifferten Antrags auf die Berufung nicht eintrat. Selbst wenn im Übrigen hinsichtlich der angeblich ausstehenden Mietzinse für vier Monate (Oktober 2020 bis Januar 2021) von einem hinreichend bezifferten Berufungsantrag auszugehen wäre, wie die Beschwerdeführerin vorbringt, bliebe es beim Nichteintretensentscheid der Vorinstanz. Die Vorinstanz wies auf die erstinstanzliche Feststellung hin, nach der die Beschwerdegegner der Beschwerdeführerin mehrere Ersatzmieter bekanntgegeben hätten, die bereit gewesen wären, die fragliche Mietwohnung per 1. Oktober 2020 zu den bisherigen Mietvertragsbedingungen zu übernehmen; die Beschwerdeführerin habe auf die Nennung der Ersatzmieter entweder gar nicht reagiert oder habe ihren Einwand der Zahlungsunfähigkeit durch nichts belegt. Mit der erstinstanzlichen Begründung der rechtsgenüglich gestellten Ersatzmieter habe sich die Beschwerdeführerin im Berufungsverfahren nicht hinreichend auseinandergesetzt, sondern habe lediglich in unzulässiger Weise ihre eigene Sicht der Dinge geschildert und neue Tatsachenbehauptungen erhoben. Die Beschwerdeführerin vermag diese Erwägung im Beschwerdeverfahren offensichtlich nicht als bundesrechtswidrig auszuweisen, sondern unterbreitet dem Bundesgericht wiederum lediglich ihre eigene Sicht der Dinge.</w:t>
      </w:r>
    </w:p>
    <w:p>
      <w:r>
        <w:rPr>
          <w:b/>
        </w:rPr>
        <w:t>E. 3</w:t>
      </w:r>
    </w:p>
    <w:p>
      <w:r>
        <w:t>Die Beschwerde ist im Verfahren nach Art. 109 Abs. 2 lit. a BGG abzuweisen, soweit darauf eingetreten werden kann. Dem Ausgang des Verfahrens entsprechend wird die Beschwerdeführerin kostenpflichtig ( Art. 66 Abs. 1 BGG ). Den Beschwerdegegnern wird keine Parteientschädigung zugesprochen,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