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4A_117/2007 vom 13. September 2007</w:t>
      </w:r>
    </w:p>
    <w:p>
      <w:r>
        <w:t>Bundesgericht, 2007-09-13, FR</w:t>
      </w:r>
    </w:p>
    <w:p>
      <w:r>
        <w:rPr>
          <w:b/>
        </w:rPr>
        <w:t xml:space="preserve">Quelle: </w:t>
      </w:r>
      <w:r>
        <w:t>https://mcp.opencaselaw.ch/entscheid/bger_4A_117_2007</w:t>
      </w:r>
    </w:p>
    <w:p>
      <w:r>
        <w:t>FR: TF 4A_117/2007 du 13 septembre 2007</w:t>
      </w:r>
    </w:p>
    <w:p>
      <w:r>
        <w:t>IT: TF 4A_117/2007 del 13 settembre 2007</w:t>
      </w:r>
    </w:p>
    <w:p>
      <w:pPr>
        <w:pStyle w:val="Heading2"/>
      </w:pPr>
      <w:r>
        <w:t>Erwägungen</w:t>
      </w:r>
    </w:p>
    <w:p>
      <w:r>
        <w:rPr>
          <w:b/>
        </w:rPr>
        <w:t>E. 1</w:t>
      </w:r>
    </w:p>
    <w:p>
      <w:r>
        <w:t>Comme la décision attaquée a été rendue après l'entrée en vigueur, le 1er janvier 2007 (RO 2006, 1242), de la loi fédérale sur le Tribunal fédéral (LTF; RS 173.110), le recours est régi par le nouveau droit ( art. 132 al. 1 LTF ).</w:t>
      </w:r>
    </w:p>
    <w:p>
      <w:r>
        <w:rPr>
          <w:b/>
        </w:rPr>
        <w:t>E. 2</w:t>
      </w:r>
    </w:p>
    <w:p>
      <w:r>
        <w:t>Dès lors que les deux recours sont dirigés contre la même décision, reposent sur le même complexe de faits et posent des questions de fond communes, il se justifie de les joindre et de statuer dans un seul arrêt (cf. art. 71 LTF et 24 PCF; ATF 131 V 59 consid. 1; 128 V 194 consid. 1 et les références citées).</w:t>
      </w:r>
    </w:p>
    <w:p>
      <w:r>
        <w:rPr>
          <w:b/>
        </w:rPr>
        <w:t>E. 3.1</w:t>
      </w:r>
    </w:p>
    <w:p>
      <w:r>
        <w:t>Exercés par les parties qui ont partiellement succombé dans leurs conclusions ( art. 76 al. 1 LTF ) et dirigés contre une décision finale ( art. 90 LTF ) rendue en matière civile ( art. 72 al. 1 LTF ) par une autorité cantonale de dernière instance ( art. 75 al. 1 LTF ) dans une affaire dont la valeur litigieuse atteint le seuil de 15'000 fr. déterminant dans les causes de droit du travail ( art. 74 al. 1 let. a LTF ), les présents recours en matière civile sont en principe recevables, puisqu'ils ont été déposés dans le délai, compte tenu des féries (art. 45 al. 1, 46 al. 1 let. a et 100 al. 1 LTF), et la forme ( art. 42 LTF ) prévus par la loi.</w:t>
      </w:r>
    </w:p>
    <w:p>
      <w:r>
        <w:rPr>
          <w:b/>
        </w:rPr>
        <w:t>E. 3.2</w:t>
      </w:r>
    </w:p>
    <w:p>
      <w:r>
        <w:t>Le recours peut être interjeté pour violation du droit, tel qu'il est délimité par les art. 95 et 96 LTF . Le Tribunal fédéral applique le droit d'office ( art. 106 al. 1 LTF ). Compte tenu de l'exigence de motivation contenue à l' art. 42 al. 1 et 2 LTF , sous peine d'irrecevabilité ( art. 108 al. 1 let. b LTF ), il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w:t>
      </w:r>
    </w:p>
    <w:p>
      <w:r>
        <w:t>Saisi d'un recours en matière civile, 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et pour autant que la correction du vice soit susceptible d'influer sur le sort de la cause ( art. 97 al. 1 LTF ). La notion de « manifestement inexacte » correspond à celle d'arbitraire au sens de l' art. 9 Cst. (Message concernant la révision totale de l'organisation judiciaire fédérale du 28 février 2001, FF 2001 p. 4000 ss, spéc. p. 4135). D'après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133 I 149 consid. 3.1; 132 III 209 consid. 2.1).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(cf. ATF 130 III 138 consid. 1.4). Aucun fait nouveau ni preuve nouvelle ne peut être présenté à moins de résulter de la décision de l'autorité précédente ( art. 99 al. 1 LTF ).</w:t>
      </w:r>
    </w:p>
    <w:p>
      <w:r>
        <w:t>Estimant l'état de fait de l'arrêt litigieux lacunaire, la défenderesse déclare se référer tant à l'arrêt en question qu'au jugement du 7 août 2006 et aux pièces essentielles de la procédure. Dans la mesure où elle ne démontre pas en quoi les constatations de la cour cantonale différentes de celles de l'autorité de première instance ou des pièces consacreraient une inexactitude manifeste, il ne saurait en être tenu compte.</w:t>
      </w:r>
    </w:p>
    <w:p>
      <w:r>
        <w:rPr>
          <w:b/>
        </w:rPr>
        <w:t>E. 4</w:t>
      </w:r>
    </w:p>
    <w:p>
      <w:r>
        <w:t>La défenderesse s'en prend à l'arrêt attaqué en tant qu'il admet l'application du plan social. Si elle ne remet pas en cause sa qualification comme manifestation unilatérale de volonté destinée à produire des effets juridiques, elle reproche à la cour cantonale d'avoir considéré, en application du principe de la confiance, que ses deuxième (licenciement en raison du processus de restructuration 2003) et troisième (licenciement pendant la période d'août au 31 décembre 2003) conditions d'application étaient réalisées.</w:t>
      </w:r>
    </w:p>
    <w:p>
      <w:r>
        <w:rPr>
          <w:b/>
        </w:rPr>
        <w:t>E. 4.1</w:t>
      </w:r>
    </w:p>
    <w:p>
      <w:r>
        <w:t>Invoquant l' art. 29 al. 2 Cst. , la défenderesse reproche à la cour cantonale d'avoir violé son droit à une décision motivée en passant sous silence six témoignages importants « sans mention aucune ».</w:t>
      </w:r>
    </w:p>
    <w:p>
      <w:r>
        <w:rPr>
          <w:b/>
        </w:rPr>
        <w:t>E. 4.1.1</w:t>
      </w:r>
    </w:p>
    <w:p>
      <w:r>
        <w:t>Vu la nature formelle du droit d'être entendu, dont la violation entraîne l'annulation de la décision attaquée indépendamment des chances de succès du recours sur le fond ( ATF 127 V 431 consid. 3d/aa p. 437), il convient d'examiner en priorité le moyen relatif à ce droit ( ATF 124 I 49 consid. 1).</w:t>
      </w:r>
    </w:p>
    <w:p>
      <w:r>
        <w:t>Le droit d'être entendu est garanti en premier lieu par le droit cantonal; comme la défenderesse n'invoque pas la violation de telles normes, c'est à la lumière des garanties offertes directement par l' art. 29 al. 2 Cst. qu'il y a lieu d'examiner le grief ( ATF 126 I 15 consid. 2a).</w:t>
      </w:r>
    </w:p>
    <w:p>
      <w:r>
        <w:t>La jurisprudence a déduit du droit d'être entendu celui d'obtenir une décision motivée. Il suffit cependant que l'autorité mentionne, au moins brièvement, les motifs qui l'ont guidée et sur lesquels elle a fondé sa décision, de manière à ce que l'intéressé puisse se rendre compte de la portée de celle-ci et l'attaquer en connaissance de cause ( ATF 129 I 232 consid. 3.2; 126 I 97 consid. 2b p. 102). L'autorité n'a pas l'obligation d'exposer et de discuter tous les faits, moyens de preuve et griefs invoqués par les parties, mais elle peut au contraire se limiter à ceux qui lui paraissent pertinents ( ATF 130 II 530 consid. 4.3 p. 540; 126 I 97 consid. 2b p. 102 s.). Savoir si la motivation présentée est convaincante est une question distincte de celle du droit à une décision motivée. Dès lors que l'on peut discerner les motifs qui ont guidé la décision des juges, le droit à une décision motivée est respecté, même si la motivation présentée est erronée.</w:t>
      </w:r>
    </w:p>
    <w:p>
      <w:r>
        <w:rPr>
          <w:b/>
        </w:rPr>
        <w:t>E. 4.1.2</w:t>
      </w:r>
    </w:p>
    <w:p>
      <w:r>
        <w:t>En l'espèce, l'on comprend que la cour cantonale a implicitement écarté les éléments de preuve, soit en l'occurrence les témoignages, allant dans le sens inverse à la version finalement retenue. Le grief de la défenderesse constitue en réalité une critique de l'appréciation des preuves et il ne saurait être question de violation du droit d'être entendu.</w:t>
      </w:r>
    </w:p>
    <w:p>
      <w:r>
        <w:rPr>
          <w:b/>
        </w:rPr>
        <w:t>E. 4.2</w:t>
      </w:r>
    </w:p>
    <w:p>
      <w:r>
        <w:t>Dans la présente cause, la cour cantonale a jugé que la deuxième condition d'application du plan social était remplie. Après avoir procédé à une analyse successive des différents éléments soulevés par chacune des parties, elle a en effet considéré que les motifs économiques du licenciement devaient à l'évidence être tenus pour prépondérants, tandis que les échecs et failles du demandeur qui avaient été relevés par la défenderesse pour expliquer son licenciement « manquaient cruellement d'épaisseur », une fois mis en relation avec les autres impératifs auxquels le demandeur avait manifestement répondu.</w:t>
      </w:r>
    </w:p>
    <w:p>
      <w:r>
        <w:rPr>
          <w:b/>
        </w:rPr>
        <w:t>E. 4.2.1</w:t>
      </w:r>
    </w:p>
    <w:p>
      <w:r>
        <w:t>Sur ce point, la défenderesse invoque préalablement le principe de la liberté de résiliation et soutient qu'elle était fondée à licencier son collaborateur, dès lors qu'elle avait perdu confiance en ses capacités d'assumer son poste.</w:t>
      </w:r>
    </w:p>
    <w:p>
      <w:r>
        <w:t>Cet argument est toutefois dénué de pertinence. En effet, selon le principe posé à l' art. 335 al. 1 CO , le contrat de travail conclu pour une durée indéterminée peut être résilié par chacune des parties, mais ce droit fondamental de chaque cocontractant de mettre unilatéralement fin au contrat est toutefois limité.</w:t>
      </w:r>
    </w:p>
    <w:p>
      <w:r>
        <w:rPr>
          <w:b/>
        </w:rPr>
        <w:t>E. 4.2.2</w:t>
      </w:r>
    </w:p>
    <w:p>
      <w:r>
        <w:t>Tant les motifs de la résiliation que l'incidence respective de plusieurs motifs de résiliation, s'ils se trouvent en concours, relèvent du fait ( ATF 130 III 699 consid. 4.1 p. 702 s. et les arrêt cités), de sorte que le Tribunal fédéral ne peut s'écarter des constatations de la cour cantonale y relatives que si elles ont été établies de façon manifestement inexacte ou en violation du droit (cf. consid. 3.2).</w:t>
      </w:r>
    </w:p>
    <w:p>
      <w:r>
        <w:rPr>
          <w:b/>
        </w:rPr>
        <w:t>E. 4.2.3</w:t>
      </w:r>
    </w:p>
    <w:p>
      <w:r>
        <w:t>Invoquant l' art. 9 Cst. , la défenderesse reproche à la cour cantonale d'avoir procédé à une appréciation arbitraire des preuves en passant sous silence des témoignages et pièces importants pour déterminer le motif du licenciement du demandeur.</w:t>
      </w:r>
    </w:p>
    <w:p>
      <w:r>
        <w:t>A cet égard, il convient de constater d'emblée que, dans la mesure où la défenderesse n'expose pas de manière détaillée quelles sont les déclarations des témoins en question qui auraient été arbitrairement écartées et en quoi celles-ci auraient eu une incidence sur le sort du litige, son grief est irrecevable.</w:t>
      </w:r>
    </w:p>
    <w:p>
      <w:r>
        <w:rPr>
          <w:b/>
        </w:rPr>
        <w:t>E. 4.2.3.1</w:t>
      </w:r>
    </w:p>
    <w:p>
      <w:r>
        <w:t>Les juges cantonaux auraient arbitrairement fait abstraction des déclarations du témoin E.________, qui avait affirmé que « je n'ai jamais eu connaissance que X.________ ait fait partie de ce plan social. Du fait que j'ai tapé cette liste, je devais être au courant des personnes touchées par le plan social (...) Je précise que Monsieur X.________ avait, à mon avis, fait partie d'un plan social, celui de l'année où M. B.________ a été licencié ».</w:t>
      </w:r>
    </w:p>
    <w:p>
      <w:r>
        <w:t>L'arrêt entrepris constate qu'aucune convention particulière n'avait été conclue entre les parties pour l'occasion, dans la mesure où il n'était nullement question que le demandeur soit touché par la restructuration. Or, l'on ne voit pas ce que le témoignage susmentionné apporterait de plus.</w:t>
      </w:r>
    </w:p>
    <w:p>
      <w:r>
        <w:rPr>
          <w:b/>
        </w:rPr>
        <w:t>E. 4.2.3.2</w:t>
      </w:r>
    </w:p>
    <w:p>
      <w:r>
        <w:t>En contradiction avec la lettre de motivation du congé et le témoignage de F.________, les précédents juges auraient retenu à tort que celle-ci avait voulu se décharger de l'approbation des commandes, alors qu'il était prouvé que « quand personne ne pouvait s'en occuper et alors cela incombe à la personne responsable, à savoir Monsieur X.________. J'ai essayé de le joindre ce jour-là et n'ai pas pu. Les commandes n'ont pas pu être approuvées. (...) A mon sens, un jour de retard c'est grave. Pour nous, c'est une règle d'or de respecter les tranches horaires ».</w:t>
      </w:r>
    </w:p>
    <w:p>
      <w:r>
        <w:t>Ces déclarations n'ont visiblement pas échappé aux juges cantonaux, qui ont retenu que, s'agissant de l'approbation des commandes effectuées tardivement le 12 décembre 2003, il semblait difficile de tenir pour responsable le demandeur, alors directeur administratif, soit numéro deux de la défenderesse, du fait qu'il n'ait pas été joignable au moment où l'assistante exécutive originellement chargée de cette tâche avait soudainement voulu s'en décharger auprès de lui. Ils ont considéré qu'il irait d'ailleurs à l'encontre du bon sens d'admettre une telle responsabilité, dans la mesure où il est généralement du devoir des assistantes exécutives d'accomplir les tâches qui leur sont confiées par leur chef, et non l'inverse. La défenderesse ne démontre pas en quoi ce raisonnement serait arbitraire.</w:t>
      </w:r>
    </w:p>
    <w:p>
      <w:r>
        <w:rPr>
          <w:b/>
        </w:rPr>
        <w:t>E. 4.2.3.3</w:t>
      </w:r>
    </w:p>
    <w:p>
      <w:r>
        <w:t>La défenderesse reproche ensuite aux juges cantonaux d'avoir considéré que les reproches formulés au sujet de la mauvaise communication du demandeur laissaient dubitatifs, étant donné qu'elle connaissait ce problème, révélé par l'évaluation 2002, mais n'avait pas hésité depuis lors à offrir à son collaborateur diverses récompenses pour ses prestations; cette évaluation, certes pour l'année 2002, avait été faite et signée le 28 avril 2003; or, les derniers bonus dataient des 3 et 28 mars 2003. Il y aurait donc une contradiction entre l'arrêt et les pièces.</w:t>
      </w:r>
    </w:p>
    <w:p>
      <w:r>
        <w:t>A cet égard, la défenderesse omet de préciser qu'il a été retenu en fait que le demandeur avait ultérieurement été chargé de la direction de deux nouveaux départements et nommé, sur proposition de sa supérieure hiérarchique, au conseil d'administration de la défenderesse, ce qui est de nature à démontrer la satisfaction de la défenderesse quant aux prestations du demandeur. Compte tenu de ces éléments, l'on ne voit pas où résiderait l'arbitraire.</w:t>
      </w:r>
    </w:p>
    <w:p>
      <w:r>
        <w:rPr>
          <w:b/>
        </w:rPr>
        <w:t>E. 4.2.3.4</w:t>
      </w:r>
    </w:p>
    <w:p>
      <w:r>
        <w:t>En outre, il ressortait de l'avertissement infligé au demandeur le 10 novembre 2003 que celui-ci aurait faussement fait croire que le plan social qu'il avait élaboré était tant comparable à celui de 2001 que similaire à ceux proposés par d'autres entreprises. Or, il serait prouvé par pièces que le demandeur avait non seulement menti à la défenderesse, mais aussi au Tribunal des prud'hommes, en faisant croire que sa pièce 92 émanait de la Fédération des entreprises romandes et en prétendant que le plan social serait calqué sur les recommendations de celle-ci alors qu'il était établi par pièce que l'indemnité maximum préconisée par celle-ci était de douze mois, fait révélateur que l'arrêt passerait sous silence.</w:t>
      </w:r>
    </w:p>
    <w:p>
      <w:r>
        <w:t>Ces éléments ne sont guère pertinents, puisqu'il a été retenu d'une part qu'il n'était nullement question que le demandeur soit touché par la restructuration, d'autre part qu'il ressortait des courriers électroniques entre le demandeur et C.________ ou A.________ que la finalisation du projet avait été conduite en toute transparence et conformément aux instructions de cette dernière. Dans ces circonstances, la critique de la défenderesse tombe à faux.</w:t>
      </w:r>
    </w:p>
    <w:p>
      <w:r>
        <w:rPr>
          <w:b/>
        </w:rPr>
        <w:t>E. 4.2.3.5</w:t>
      </w:r>
    </w:p>
    <w:p>
      <w:r>
        <w:t>En dernier lieu, l'arrêt attaqué passerait arbitrairement sous silence le fait que, suite au licenciement du demandeur, la défenderesse avait engagé D.________ pour un salaire annuel de 306'000 fr., ce qui démontrerait que l'employeuse n'avait pas licencié l'employé dans le but d'économiser son salaire.</w:t>
      </w:r>
    </w:p>
    <w:p>
      <w:r>
        <w:t>Examinant les éléments corroborant la thèse selon laquelle le licenciement litigieux reposerait sur des motifs essentiellement économiques, la cour cantonale a notamment retenu que les fonctions du demandeur avaient été réparties entre trois personnes suite à son licenciement; en particulier, D.________, qui avait été licenciée dans le cadre de la restructuration intervenue en 2003, avait été rappelée pour prendre la tête de la « relation avec la clientèle » et de la « chaîne des fournisseurs ». Les précédents juges ont toutefois négligé de discuter la question du rapport entre le salaire annuel brut précédemment versé au demandeur, par (28'133 fr. 35 x 12 =) 337'600 fr. 20, et celui pour lequel D.________ avait été réengagée, dont il résulte effectivement du dossier qu'il s'élevait à 306'000 fr. Le fait que la diminution de la masse salariale ainsi obtenue apparaisse, à première vue, très modeste, est un argument sérieux permettant de mettre en doute la qualification du licenciement du demandeur comme économique. En tout état, la cour cantonale se devait de discuter cette question. En ne le faisant pas, elle a omis de prendre en compte un élément de preuve susceptible de modifier la décision attaquée, procédant ainsi à une appréciation arbitraire des preuves. Il s'ensuit que l'arrêt attaqué doit être annulé sur ce point et la cause renvoyée à l'autorité cantonale pour nouvel examen de la situation et nouvelle décision dans le sens des considérants.</w:t>
      </w:r>
    </w:p>
    <w:p>
      <w:r>
        <w:rPr>
          <w:b/>
        </w:rPr>
        <w:t>E. 4.3</w:t>
      </w:r>
    </w:p>
    <w:p>
      <w:r>
        <w:t>Compte tenu de ce qui précède, il n'y a pas lieu en l'état de se pencher plus avant sur la question de la réalisation de la troisième condition d'application du plan social, dont l'examen s'avérerait superflu si les juges cantonaux parvenaient en définitive à la conclusion que les motifs de licenciement du demandeur n'étaient pas économiques. Il en va de même de la question du caractère abusif du licenciement, dont l'appréciation dépendra du motif de congé finalement retenu.</w:t>
      </w:r>
    </w:p>
    <w:p>
      <w:r>
        <w:rPr>
          <w:b/>
        </w:rPr>
        <w:t>E. 5</w:t>
      </w:r>
    </w:p>
    <w:p>
      <w:r>
        <w:t>Reprochant à la cour cantonale d'avoir violé l' art. 336c al. 1 let. b CO , le demandeur prétend au paiement de son salaire pour les mois de novembre et décembre 2004, dès lors qu'il aurait connu deux épisodes distincts d'incapacité de travail, avec des causes différentes, ouvrant chacun une période de protection propre.</w:t>
      </w:r>
    </w:p>
    <w:p>
      <w:r>
        <w:rPr>
          <w:b/>
        </w:rPr>
        <w:t>E. 5.1</w:t>
      </w:r>
    </w:p>
    <w:p>
      <w:r>
        <w:t>Selon la jurisprudence, les éventualités prévues par les différentes lettres de l' art. 336c al. 1 CO font chacune courir une période de protection, indépendante l'une de l'autre; il y a en quelque sorte cumul (« interlittéral ») de ces périodes ( ATF 120 II 124 consid. 3c). De plus, lorsqu'un employé est incapable de travailler pour cause de maladies ou d'accidents successifs n'ayant aucun lien entre eux, chaque nouvelle maladie ou chaque nouvel accident fait courir un nouveau délai légal de protection durant lequel l'employeur ne peut valablement résilier le contrat de travail; il y a ainsi cumul « intralittéral » des éventualités prévues à l' art. 336c CO (cf. ATF 120 II 124 consid. 3d).</w:t>
      </w:r>
    </w:p>
    <w:p>
      <w:r>
        <w:rPr>
          <w:b/>
        </w:rPr>
        <w:t>E. 5.2</w:t>
      </w:r>
    </w:p>
    <w:p>
      <w:r>
        <w:t>En l'espèce, la cour cantonale a retenu que le demandeur était allé consulter un premier médecin le 9 mars 2004 pour des problèmes de pression artérielle et de stress. Le praticien avait décelé à ce moment chez son patient un burn-out assez sérieux pour justifier un arrêt maladie de trois semaines. Il ne s'était toutefois pas inquiété davantage, dans la mesure où un état de stress était assez fréquent chez les personnes gravitant dans le monde des affaires. Le second médecin consulté avait jugé bon de prolonger cet arrêt jusqu'au 18 avril 2004, en raison de la fatigue et du surmenage dont souffrait le demandeur. Ce n'était qu'au moment où il avait revu son patient, soit le 10 juin 2004, que le premier médecin avait diagnostiqué un état dépressif réactionnel. A son avis, cet état était directement lié à ses soucis professionnels. Un troisième médecin, psychiatre qui suivait le demandeur depuis le 1er juillet 2004, avait confirmé le diagnostic de son confrère et avait également précisé que la dépression du demandeur avait pour origine son licenciement. Cela étant, les juges cantonaux ont considéré qu'il était difficile de concevoir les deux épisodes d'incapacité de travail du demandeur comme étrangers l'un à l'autre. Il était en effet connu que le burn-out pouvait fréquemment déclencher une dépression, ou qu'inversement, on fasse remonter, rétrospectivement, l'origine d'une dépression dans un burn-out. Il fallait également relever en ce sens que les médecins, tout en utilisant, des dénominations différentes au sujet de l'état du patient (stress, surmenage, burn-out, puis dépression), s'accordaient sur le fait qu'il trouvait son origine dans les soucis professionnels du demandeur et, plus particulièrement, dans son licenciement; en définitive, il y avait lieu de considérer l'incapacité de travail du 10 juin 2004 comme la suite de celle de mars 2004, n'ouvrant pas la voie à une seconde période de protection.</w:t>
      </w:r>
    </w:p>
    <w:p>
      <w:r>
        <w:rPr>
          <w:b/>
        </w:rPr>
        <w:t>E. 5.3</w:t>
      </w:r>
    </w:p>
    <w:p>
      <w:r>
        <w:t>Quoi qu'en dise le demandeur, qui relève en particulier que le psychiatre avait déclaré, lors de son audition en qualité de témoin, qu'il lui était difficile de certifier un lien causal entre l'hypertension et la dépression, il sied de constater que le demandeur n'a pas apporté la preuve de l'absence de lien entre les deux cas médicaux, de sorte que c'est à juste titre que les précédents juges ont considéré que le contrat de travail du demandeur avait pris fin le 31 octobre 2004 et, partant, rejeté sa prétention en versement du salaire pour les mois de novembre et décembre 2004.</w:t>
      </w:r>
    </w:p>
    <w:p>
      <w:r>
        <w:rPr>
          <w:b/>
        </w:rPr>
        <w:t>E. 6</w:t>
      </w:r>
    </w:p>
    <w:p>
      <w:r>
        <w:t>Le demandeur reproche à la cour cantonale d'avoir violé l' art. 329d CO en considérant qu'il avait pu prendre les jours de vacances qui lui restaient pendant le préavis.</w:t>
      </w:r>
    </w:p>
    <w:p>
      <w:r>
        <w:rPr>
          <w:b/>
        </w:rPr>
        <w:t>E. 6.1</w:t>
      </w:r>
    </w:p>
    <w:p>
      <w:r>
        <w:t>Aux termes de l' art. 329d al. 2 CO , tant que durent les rapports de travail, les vacances ne peuvent pas être remplacées par des prestations en argent ou d'autres avantages. En règle générale, l'interdiction de remplacer les vacances par des prestations en argent s'applique aussi après la résiliation des rapports de travail. Il peut cependant être dérogé à ce principe selon les circonstances. D'après la jurisprudence, des prestations en argent peuvent remplacer les vacances lorsque celles-ci ne peuvent être prises avant la fin des rapports de travail ou lorsqu'on ne peut exiger qu'elles le soient ( ATF 128 III 271 consid. 4a/aa p. 280 s. et les références citées); la Cour de céans considère que le point de savoir si le solde de vacances non prises devait être indemnisé en espèces devait être tranché de cas en cas, en se fondant sur le rapport entre la durée de la libération de l'obligation de travailler et le nombre de jours de vacances restant (cf. ATF 128 III 271 consid. 4a/cc p. 282 s.). Il faut en particulier que, durant cette période, le salarié congédié ait, en plus de ses vacances, suffisamment de temps à consacrer à la recherche d'un nouvel emploi (arrêt 4C.193/2005 du 30 septembre 2005, consid. 3.2 non publié aux ATF 131 III 623 ).</w:t>
      </w:r>
    </w:p>
    <w:p>
      <w:r>
        <w:rPr>
          <w:b/>
        </w:rPr>
        <w:t>E. 6.2</w:t>
      </w:r>
    </w:p>
    <w:p>
      <w:r>
        <w:t>En l'occurrence, la cour cantonale a retenu en fait que, lors de son licenciement, le demandeur avait été informé qu'il était libéré de venir travailler, tout en étant prié de rester disponible, par téléphone ou courrier électronique, pour le passage de témoin à ses successeurs. Dans la partie « en droit » de son arrêt, elle a déterminé que le solde du droit aux vacances du demandeur s'élevait encore à 17 jours pour 2003 et 10.5 jours pour 2004, compte tenu de la fin de son contrat de travail au 31 octobre et de son incapacité de travail durant six mois justifiant une réduction de 5/12. Ella a donc considéré que, théoriquement, le demandeur avait encore droit à 27.5 jours de vacances. Toutefois, il s'était vu libérer de travailler le 14 janvier 2004, alors que son licenciement ne devait prendre effet qu'au 30 avril 2004, soit trois mois et demi plus tard. Certes, il avait été tenu de rester à disposition pour le passage de témoin à ses successeurs, mais il n'avait pas démontré qu'il avait été très sollicité pendant cette période, ce d'autant plus que dès le mois de mars, il se trouvait déjà en incapacité de travail. Il fallait également souligner qu'en raison de ses différents arrêts maladies, le demandeur n'avait vu son congé prendre effet qu'à la fin octobre 2004. Ce délai de congé devait être mis en rapport avec le relativement faible jours de vacances auxquels il pouvait prétendre; le demandeur avait pu bénéficier au total d'environ quatre-vingt jours de délai de congé, durant lesquels il était libéré de venir travailler. Il était dès lors difficile de soutenir que les jours de vacances auxquels il pouvait prétendre n'aient pas pu être pris durant cette période. Et même si l'on tenait compte du fait que le demandeur soit resté un certain temps à disposition pour la transmission d'informations à ses successeurs, par téléphone ou courrier électronique, il n'apparaissait pas que cette tâche ait requis plus d'une vingtaine de jours de travail à temps plein, si bien que le demandeur avait largement bénéficié des deux mois complets nécessaires à la recherche d'un emploi.</w:t>
      </w:r>
    </w:p>
    <w:p>
      <w:r>
        <w:rPr>
          <w:b/>
        </w:rPr>
        <w:t>E. 6.3</w:t>
      </w:r>
    </w:p>
    <w:p>
      <w:r>
        <w:t>Le demandeur relève qu'il a certes été libéré de son obligation de travailler, mais sous réserve qu'il reste à disposition de son employeur pour le passage de témoin, réserve incompatible avec une libération totale et inconditionnelle de travailler. A juste titre. En effet, l'on ne peut parler de libération lorsque le travailleur doit se tenir à disposition de l'employeur (Streiff/von Kaenel, Arbeitsvertrag, Praxiskommentar zu Art. 319-362 OR , 6e éd., Zurich 2006, n. 11 ad art. 329c CO , p. 440). Dans la présente cause, le fait qu'il se soit en fin de compte avéré que le demandeur n'avait pas été beaucoup sollicité ne change rien au fait qu'il a été constaté qu'il devait rester à disposition de la défenderesse, ce qui l'entravait dans sa liberté d'organiser et de prendre des vacances en nature. Si la défenderesse entendait que le demandeur prenne ses vacances pendant le délai de congé, elle devait faire en sorte de préciser et limiter l'étendue de l'obligation de celui-ci de rester à disposition; ne l'ayant pas fait, elle doit supporter les conséquences de son incurie. A cet égard, la décision entreprise viole donc le droit fédéral et doit être annulée en tant qu'elle déboute le demandeur de ses prétentions en paiement d'une indemnité pour vacances non prises en nature. Dès lors que la cause doit de toute façon être renvoyée à la cour cantonale pour qu'elle statue sur un autre point, celle-ci déterminera également le montant dû au demandeur de ce chef (cf. art. 107 al. 2 LTF ).</w:t>
      </w:r>
    </w:p>
    <w:p>
      <w:r>
        <w:t>Pour le surplus, il convient encore de relever que le fait que le délai de congé ait été prolongé en raison des incapacités de travail du demandeur n'y change rien, puisque, quoi qu'en dise la défenderesse, une incapacité de travail suffisamment sérieuse, au point d'entraver la récupération physique ou psychique du travailleur, notamment un état de dépression, empêche en principe la réalisation du but des vacances (cf. Cerottini, Le droit aux vacances, Étude des articles 329a à d CO, thèse Lausanne, Lausanne 2001, p. 264 s.), et que cet élément a par ailleurs été pris en compte sous l'angle de l' art. 329b al. 2 CO qui prévoit la réduction du droit aux vacances du fait d'une incapacité de travail.</w:t>
      </w:r>
    </w:p>
    <w:p>
      <w:r>
        <w:rPr>
          <w:b/>
        </w:rPr>
        <w:t>E. 7</w:t>
      </w:r>
    </w:p>
    <w:p>
      <w:r>
        <w:t>Le demandeur reproche à la cour cantonale d'avoir violé l' art. 330a CO en lui refusant la délivrance d'un certificat de travail complet, véridique et en français.</w:t>
      </w:r>
    </w:p>
    <w:p>
      <w:r>
        <w:rPr>
          <w:b/>
        </w:rPr>
        <w:t>E. 7.1</w:t>
      </w:r>
    </w:p>
    <w:p>
      <w:r>
        <w:t>Selon l' art. 330a al. 1er CO , le travailleur peut demandeur en tout temps à l'employeur un certificat de travail portant sur la nature et la durée des rapports de travail, ainsi que sur la qualité de son travail et sa conduite. Ce document a pour but de faciliter l'avenir économique du travailleur. Il doit être véridique et complet ( ATF 129 III 177 consid. 3.2). Le choix de la formulation appartient en principe à l'employeur; conformément au principe de la bonne foi, la liberté de rédaction reconnue à celui-ci trouve ses limites dans l'interdiction de recourir à des termes péjoratifs, peu clairs ou ambigus, voire constitutifs de fautes d'orthographe ou de grammaire. Le certificat doit contenir la description précise et détaillée des activités exercées et des fonctions occupées dans l'entreprise, les dates de début et de fin de l'engagement, l'appréciation de la qualité du travail effectué ainsi que de l'attitude du travailleur. S'il doit être établi de manière bienveillante, le certificat peut et doit contenir des faits et appréciations défavorables, pour autant que ces éléments soient pertinents et fondés (arrêt 4C.129/2003 du 5 septembre 2003, reproduit in JAR 2004 p. 308, consid. 6.1 p. 313 s. et les références citées).</w:t>
      </w:r>
    </w:p>
    <w:p>
      <w:r>
        <w:t>Conformément à son but, le certificat de travail sera établi dans la langue usuelle du lieu où se sont déroulés les rapports de travail (arrêt 4C.129/2003 du 5 septembre 2003, reproduit in JAR 2004 p. 308, consid. 6.1 p. 313 et la référence citée). Si la langue de travail n'est pas celle usuelle dans le lieu où se sont déroulés les rapports de travail, le travailleur a droit à une version du certificat de travail dans ces deux langues (Brunner/Bühler/Waeber/Bruchez, Commentaire du contrat de travail, 3e éd., Lausanne 2004, n. 2 ad art. 330a CO ).</w:t>
      </w:r>
    </w:p>
    <w:p>
      <w:r>
        <w:t>Si, après avoir reçu le certificat, le travailleur estime que son contenu est faux ou incomplet, il peut ouvrir action en rectification auprès du Tribunal compétent ( ATF 129 III 177 consid. 3.3 et les références citées). Dans le cadre de l'action en justice, il appartient au travailleur de prouver les faits justifiant l'établissement d'un certificat de travail différent de celui qui lui a été remis (arrêt 4C.129/2003 du 5 septembre 2003, reproduit in JAR 2004 p. 308, consid. 6.1 p. 314 et les références citées). L'employeur devra collaborer à l'instruction de la cause, en motivant les faits qui fondent son appréciation négative. S'il refuse de le faire ou ne parvient pas à justifier sa position, le juge pourra considérer que la demande de rectification est fondée (Brunner/ Bühler/Waeber/Bruchez, op. cit., n. 5 ad art. 330a CO ).</w:t>
      </w:r>
    </w:p>
    <w:p>
      <w:r>
        <w:t>Le travailleur qui n'établit pas avoir fourni des prestations d'une qualité au-dessus de la moyenne ne peut prétendre à un certificat de travail mentionnant qu'il a oeuvré « à notre entière satisfaction » (Favre/ Munoz/Tobler, Le contrat de travail, Code annoté, Lausanne 2001, n. 1.5 ad art. 330a CO , et les références citées; cf. également Bühler/ Lefébure, De l'élaboration à la remise du certificat de travail, Conseils, bases légales et règles utiles, Zurich 2003, p. 55).</w:t>
      </w:r>
    </w:p>
    <w:p>
      <w:r>
        <w:rPr>
          <w:b/>
        </w:rPr>
        <w:t>E. 7.2</w:t>
      </w:r>
    </w:p>
    <w:p>
      <w:r>
        <w:t>La cour cantonale a considéré que le certificat délivré le 26 octobre 2005 aurait certes pu détailler plus exactement les tâches dévolues au demandeur, ainsi que la qualité du travail effectué, mais que la version de remplacement proposée par celui-ci ne précisait pas davantage les responsabilités qu'il avait dû assumer dans le cadre de son travail. Il y avait également lieu de relever que le travailleur ne pouvait exiger la rectification de son certificat de travail par les juges qu'après avoir essuyé un refus de son employeur de procéder aux modifications demandées. Or, il ne semblait pas que le demandeur se soit directement adressé à la défenderesse afin d'obtenir un certificat conforme à ses attentes. En outre, le certificat ne s'écartait pas de la réalité et n'était pas à ce point lacunaire pour justifier sa modification, d'autant plus que la version de remplacement n'était guère plus éloquente quant à la nature des activités du demandeur. Enfin, celui-ci ayant retrouvé du travail depuis le 1er mai 2006, il n'apparaissait pas que ledit certificat ai nui d'une quelconque manière à sa recherche d'emploi et que sa correction réponde dès lors à une nécessité absolue.</w:t>
      </w:r>
    </w:p>
    <w:p>
      <w:r>
        <w:rPr>
          <w:b/>
        </w:rPr>
        <w:t>E. 7.3</w:t>
      </w:r>
    </w:p>
    <w:p>
      <w:r>
        <w:t>Le demandeur est d'avis que la cour cantonale a erré en considérant comme suffisant le certificat du 26 octobre 2005 comportant « une description succincte des fonctions et des responsabilités (du demandeur) ». Par ailleurs, il avait donné dans son écriture d'appel un texte précis du certificat demandé. En outre, la défenderesse avait exprimé en procédure son refus de procéder au rectificatif. La cour cantonale avait également omis de mentionner que le certificat avait été rédigé en anglais, alors que la langue usuelle du lieu où s'étaient déroulés les rapports de travail était le français. De surcroît, le certificat incriminé ne se prononçait guère sur ses compétences dans ses fonctions financières, mais se limitait au domaine administratif. Dans le document du 26 octobre 2005, la défenderesse parlait de « satisfaction » et non d'« entière satisfaction », tandis que la cour cantonale avait retenu en fait que les divers bonus et récompenses reçus jusqu'en mars 2003 démontraient que les performances du demandeur donnaient pleine satisfaction, et que les faits qui lui étaient reprochés vers la fin de son contrat n'étaient que des prétextes pour justifier son licenciement, mais nullement fondés. Enfin, il avait toujours été très disponible pour ses collègues et son employeur. Il convenait enfin de rectifier la date de la fin du contrat si le Tribunal fédéral devait retenir la fin du contrat au 31 décembre 2004.</w:t>
      </w:r>
    </w:p>
    <w:p>
      <w:r>
        <w:rPr>
          <w:b/>
        </w:rPr>
        <w:t>E. 7.4</w:t>
      </w:r>
    </w:p>
    <w:p>
      <w:r>
        <w:t>En l'espèce, la question de savoir si le demandeur était tenu de demander à son employeur de rectifier son certificat de travail avant d'y prétendre en justice peut demeurer indécise, ce d'autant plus que la défenderesse aurait semble-t-il affirmé en procédure qu'elle s'y refusait. En effet, la cour cantonale a constaté que le texte proposé par le demandeur ne répondait pas davantage à ses attentes que celle qui lui avait été délivrée. En d'autres termes, il apparaît que le demandeur n'a pas prouvé les faits justifiant l'établissement d'un certificat de travail au contenu différent de celui qui lui avait été délivré. Or, dans son recours au Tribunal fédéral, le demandeur se contente de présenter sa propre version des faits, sans démontrer en quoi les constatations de la cour cantonale seraient manifestement inexactes (cf. consid. 3.2). En particulier, le fait qu'il ait été constaté que les divers bonus et récompenses reçus jusqu'en mars 2003 démontraient que ses performances donnaient pleine satisfaction ne permet pas de se prononcer sur la qualité de son travail pendant toute la durée de son engagement. En définitive, il y a lieu de constater que le demandeur échoue à démontrer que le certificat de travail qui lui a été délivré ne serait pas véridique et complet au sens de la jurisprudence susmentionnée. Pour le surplus, il n'établit pas davantage avoir sollicité que le document en question lui soit délivré en langue française.</w:t>
      </w:r>
    </w:p>
    <w:p>
      <w:r>
        <w:rPr>
          <w:b/>
        </w:rPr>
        <w:t>E. 8</w:t>
      </w:r>
    </w:p>
    <w:p>
      <w:r>
        <w:t>Le demandeur reproche enfin à la cour cantonal d'avoir violé les art. 3 al. 2 et 11a LACI ainsi que 22 al. 1 OLAA en omettant de déduire de l'indemnité résultant de l'application du plan social le montant maximum assuré, de 106'800 fr. La caisse de chômage admet qu'il faille effectivement tenir compte de l' art. 11a LACI , qui dispose que la perte de travail n'est pas prise en considération tant que des prestations volontaires versées par l'employeur couvrent la perte de revenu résultant de la résiliation des rapports de travail (al. 1) et que les prestations volontaires de l'employeur ne sont prises en compte que pour la part qui dépasse le montant maximum assuré (al. 2). Compte tenu de la fin des rapports de travail le 31 octobre 2004 et de l'ouverture du délai-cadre le 24 août 2005, le montant pour lequel elle serait subrogée aux droits du demandeur s'élèverait 41'764 fr. 40, conformément au décompte produit pas celle-ci en annexe à sa réponse au recours en matière civile.</w:t>
      </w:r>
    </w:p>
    <w:p>
      <w:r>
        <w:t>Sur ce point, il y a derechef lieu d'annuler l'arrêt entrepris et de renvoyer la cause à la cour cantonale pour qu'elle statue sur ce montant (cf. art. 107 al. 2 LTF ).</w:t>
      </w:r>
    </w:p>
    <w:p>
      <w:r>
        <w:rPr>
          <w:b/>
        </w:rPr>
        <w:t>E. 9</w:t>
      </w:r>
    </w:p>
    <w:p>
      <w:r>
        <w:t>En définitive, l'arrêt attaqué doit être annulé en tant qu'il a trait aux prétentions du demandeur en allocation d'une indemnité fondée sur l'application du plan social, d'une indemnité pour licenciement abusif de même que d'une indemnité pour vacances non prises en nature, ainsi que s'agissant du montant pour lequel l'intervenante est subrogée aux droits du demandeur. La cause sera renvoyée à la cour cantonale pour nouvelle décision dans le sens des considérants sur ces points, ainsi que sur les frais et dépens de la procédure cantonale (cf. art. 67 et 107 al. 2 LTF ). L'arrêt querellé sera confirmé pour le surplus.</w:t>
      </w:r>
    </w:p>
    <w:p>
      <w:r>
        <w:rPr>
          <w:b/>
        </w:rPr>
        <w:t>E. 10</w:t>
      </w:r>
    </w:p>
    <w:p>
      <w:r>
        <w:t>Comme la valeur litigieuse, calculée selon les prétentions à l'ouverture de l'action ( ATF 115 II 30 consid. 5b p. 41), dépasse le seuil de 30'000 fr., le montant de l'émolument judiciaire est fixé selon le tarif ordinaire ( art. 65 al. 3 let. b LTF ) et non réduit ( art. 65 al. 4 let . c LTF).</w:t>
      </w:r>
    </w:p>
    <w:p>
      <w:r>
        <w:t>Chacun des deux recours est partiellement admis. L'issue du litige demeure toutefois incertaine pour ce qui est de la conclusion libératoire de la défenderesse. Par ailleurs, le montant exact des prétentions qui doivent être allouées au demandeur est également indécis. Dans ces circonstances, il se justifie de faire supporter au demandeur et à la défenderesse la moitié des frais judiciaires et de compenser les dépens. Il n'y a en outre pas lieu d'allouer de dépens à l'intervenante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