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114/2024 vom 8. März 2024</w:t>
      </w:r>
    </w:p>
    <w:p>
      <w:r>
        <w:t>Bundesgericht, 2024-03-08, DE</w:t>
      </w:r>
    </w:p>
    <w:p>
      <w:r>
        <w:rPr>
          <w:b/>
        </w:rPr>
        <w:t xml:space="preserve">Quelle: </w:t>
      </w:r>
      <w:r>
        <w:t>https://mcp.opencaselaw.ch/entscheid/bger_4A_114_2024</w:t>
      </w:r>
    </w:p>
    <w:p>
      <w:r>
        <w:t>FR: TF 4A 114/2024 du 8 mars 2024</w:t>
      </w:r>
    </w:p>
    <w:p>
      <w:r>
        <w:t>IT: TF 4A 114/2024 del 8 marzo 2024</w:t>
      </w:r>
    </w:p>
    <w:p>
      <w:pPr>
        <w:pStyle w:val="Heading2"/>
      </w:pPr>
      <w:r>
        <w:t>Regeste</w:t>
      </w:r>
    </w:p>
    <w:p>
      <w:r>
        <w:t>Rechtsöffnung, | Schuldbetreibungs- und Konkursrecht</w:t>
      </w:r>
    </w:p>
    <w:p>
      <w:pPr>
        <w:pStyle w:val="Heading2"/>
      </w:pPr>
      <w:r>
        <w:t>Erwägungen</w:t>
      </w:r>
    </w:p>
    <w:p>
      <w:r>
        <w:rPr>
          <w:b/>
        </w:rPr>
        <w:t>E. 1</w:t>
      </w:r>
    </w:p>
    <w:p>
      <w:r>
        <w:t>Am 10. November 2023 erteilte die Amtsgerichtspräsidentin von Dorneck-Thierstein der Gemeinde Winterthur in der gegen den Beschwerdeführer geführten Betreibung Nr. xxx des Betreibungsamtes Thierstein für den Betrag von Fr. 47'461.95 zzgl. Zins zu 5% seit 17. Oktober 2023 definitive Rechtsöffnung. Mit Urteil vom 24. Januar 2024 wies das Obergericht des Kantons Solothurn eine vom Beschwerdeführer gegen das erstinstanzliche Urteil erhobene Beschwerde ab, soweit es darauf eintrat. Es erwog im Wesentlichen, die Beschwerde gegen die erteilte Rechtsöffnung genüge den Anforderungen an die Begründung des Rechtsmittels nicht. Mit Eingabe vom 17. Februar 2024 erklärte der Beschwerdeführer dem Bundesgericht, das Urteil des Obergerichts des Kantons Solothurn vom 24. Januar 2024 mit Beschwerde anfechten zu wollen. Zudem stellte er sinngemäss ein Ausstandsgesuch gegen Bundesrichter Herrmann und beantragte die Erteilung der unentgeltlichen Rechtspflege für das bundesgerichtliche Verfahren. Es wurden keine Vernehmlassungen eingeholt.</w:t>
      </w:r>
    </w:p>
    <w:p>
      <w:r>
        <w:rPr>
          <w:b/>
        </w:rPr>
        <w:t>E. 2</w:t>
      </w:r>
    </w:p>
    <w:p>
      <w:r>
        <w:t>Die Anwürfe der Korruption und des Amtsmissbrauchs gegen das Bundesgericht im Allgemeinen und gegen Bundesrichter Herrmann im Speziellen sind nicht geeignet, das damit sinngemäss gestellte Ausstandsbegehren zu begründen. Ohnehin ist aufgrund einer internen Reorganisation des Bundesgerichts seit dem 1. Januar 2024 nicht mehr die II. zivilrechtliche Abteilung, sondern die I. zivilrechtliche Abteilung des Bundesgerichts für die Beurteilung von Beschwerden im vorliegenden Rechtsgebiet zuständig. Damit wird das Ausstandsgesuch gegen den Präsidenten der II. zivilrechtlichen Abteilung gegenstandslos.</w:t>
      </w:r>
    </w:p>
    <w:p>
      <w:r>
        <w:rPr>
          <w:b/>
        </w:rPr>
        <w:t>E. 3</w:t>
      </w:r>
    </w:p>
    <w:p>
      <w:r>
        <w:t>Das Bundesgericht prüft von Amtes wegen und mit freier Kognition, ob ein Rechtsmittel zulässig ist ( Art. 29 Abs. 1 BGG ; BGE 148 IV 155 E. 1.1 ; 145 I 121 E. 1; 143 III 140 E. 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3.2</w:t>
      </w:r>
    </w:p>
    <w:p>
      <w:r>
        <w:t>Der Beschwerdeführer setzt sich in seiner Beschwerde nicht hinreichend mit den Erwägungen des angefochtenen Entscheids auseinander. Er trägt dem Bundesgericht einzig an, sämtliche Unterlagen von der Vorinstanz einzufordern, zu studieren und ihm dies schriftlich zu bestätigen. Er macht zudem Ausführungen zur Forderung, die der streitgegenständlichen Betreibung zugrunde liegt und verliert sich in Kritik an den mitwirkenden Behörden und Gerichten. Damit zeigt er nicht rechtsgenügend auf, inwiefern die Vorinstanz mit ihrem Entscheid Bundesrecht verletzt hätte. Auf die Beschwerde ist somit mangels hinreichender Begründung nicht einzutreten ( Art. 108 Abs. 1 lit. b BGG ).</w:t>
      </w:r>
    </w:p>
    <w:p>
      <w:r>
        <w:rPr>
          <w:b/>
        </w:rPr>
        <w:t>E. 4</w:t>
      </w:r>
    </w:p>
    <w:p>
      <w:r>
        <w:t>Das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