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114/2017 vom 13. März 2017</w:t>
      </w:r>
    </w:p>
    <w:p>
      <w:r>
        <w:t>Bundesgericht, 2017-03-13, FR</w:t>
      </w:r>
    </w:p>
    <w:p>
      <w:r>
        <w:rPr>
          <w:b/>
        </w:rPr>
        <w:t xml:space="preserve">Quelle: </w:t>
      </w:r>
      <w:r>
        <w:t>https://mcp.opencaselaw.ch/entscheid/bger_4A_114_2017</w:t>
      </w:r>
    </w:p>
    <w:p>
      <w:r>
        <w:t>FR: TF 4A 114/2017 du 13 mars 2017</w:t>
      </w:r>
    </w:p>
    <w:p>
      <w:r>
        <w:t>IT: TF 4A 114/2017 del 13 marzo 2017</w:t>
      </w:r>
    </w:p>
    <w:p>
      <w:pPr>
        <w:pStyle w:val="Heading2"/>
      </w:pPr>
      <w:r>
        <w:t>Regeste</w:t>
      </w:r>
    </w:p>
    <w:p>
      <w:r>
        <w:t>procedure civile; exécution forcée | Droit des contrats</w:t>
      </w:r>
    </w:p>
    <w:p>
      <w:pPr>
        <w:pStyle w:val="Heading2"/>
      </w:pPr>
      <w:r>
        <w:t>Erwägungen</w:t>
      </w:r>
    </w:p>
    <w:p>
      <w:r>
        <w:rPr>
          <w:b/>
        </w:rPr>
        <w:t>E. 1</w:t>
      </w:r>
    </w:p>
    <w:p>
      <w:r>
        <w:t>Les époux H.X.________ et F.X.________ ont pris à bail un appartement de trois pièces au deuxième étage d'un bâtiment du quartier du Grand-Pré à Genève. Le 16 octobre 2013, la bailleresse Z.________ a résilié le contrat avec effet au 31 janvier 2014. Le 11 février 2014, à l'audience de la Commission de conciliation en matière de baux et loyers du canton de Genève, les locataires ont souscrit un procès-verbal de conciliation par lequel ils reconnaissaient la validité du congé et acceptaient une prolongation unique du contrat pour une durée de deux ans venant à échéance le 31 janvier 2016. Par requête du 3 février 2016, la bailleresse a sollicité le Tribunal des baux et loyers de valider le procès-verbal de conciliation et d'ordonner l'évacuation forcée de l'appartement, au besoin avec le concours de la force publique. Le tribunal a tenu audience le 5 avril 2016 et il s'est prononcé par jugement du même jour; il a accueilli la requête. La Chambre des baux et loyers de la Cour de justice a statué le 30 janvier 2017 sur le recours des époux X.________; elle a rejeté ce recours.</w:t>
      </w:r>
    </w:p>
    <w:p>
      <w:r>
        <w:rPr>
          <w:b/>
        </w:rPr>
        <w:t>E. 2</w:t>
      </w:r>
    </w:p>
    <w:p>
      <w:r>
        <w:t>Par un acte manuscrit daté du 27 février 2017, les époux X.________ sollicitent « l'aide » du Tribunal fédéral. Ils exposent qu'ils sont âgés et habitent l'appartement depuis 1987. Ils font longuement état de l'hostilité et de la malveillance des autres habitants du bâtiment et de la « torture » qu'ils subissent dans leur logement: des coups et bruits de toutes sortes résonnant dans toutes les pièces et, depuis fin octobre 2013, « des sonorités de nature électromagnétique, vibrations très fortes allant jusqu'à des ''secousses ondulatoires'' sur tous les planchers et carrelages, y compris sur le balcon ».</w:t>
      </w:r>
    </w:p>
    <w:p>
      <w:r>
        <w:rPr>
          <w:b/>
        </w:rPr>
        <w:t>E. 3</w:t>
      </w:r>
    </w:p>
    <w:p>
      <w:r>
        <w:t>A teneur de l'art. 42 al. 1 de la loi fédérale sur le Tribunal fédéral (LTF), le mémoire de recours adressé à ce tribunal doit comporter des conclusions, c'est-à-dire spécifier de façon précise l'intervention attendue du tribunal. L'écriture des époux X.________ ne satisfait pas à cette exigence. A teneur de l' art. 42 al. 1 et 2 LTF , le recours doit également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non plus satisfaites dans la présente contestation. En effet, les époux X.________ ne mettent pas en doute que le procès-verbal de conciliation soit une transaction exécutoire selon l'art. 208 al. 2 du code de procédure civile (CPC), ni que l'exécution forcée soit ordonnée conformément à l' art. 343 al. 1 let . d CPC. Il s'ensuit que le recours adressé au Tribunal fédéral est irrecevable.</w:t>
      </w:r>
    </w:p>
    <w:p>
      <w:r>
        <w:rPr>
          <w:b/>
        </w:rPr>
        <w:t>E. 4</w:t>
      </w:r>
    </w:p>
    <w:p>
      <w:r>
        <w:t>A titre exceptionnel, le Tribunal fédéral peut dispenser les époux X.________ de l'émolument judiciaire.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