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4A_113/2007 vom 28. August 2007</w:t>
      </w:r>
    </w:p>
    <w:p>
      <w:r>
        <w:t>Bundesgericht, 2007-08-28, FR</w:t>
      </w:r>
    </w:p>
    <w:p>
      <w:r>
        <w:rPr>
          <w:b/>
        </w:rPr>
        <w:t xml:space="preserve">Quelle: </w:t>
      </w:r>
      <w:r>
        <w:t>https://mcp.opencaselaw.ch/entscheid/bger_4A_113_2007</w:t>
      </w:r>
    </w:p>
    <w:p>
      <w:r>
        <w:t>FR: TF 4A_113/2007 du 28 août 2007</w:t>
      </w:r>
    </w:p>
    <w:p>
      <w:r>
        <w:t>IT: TF 4A_113/2007 del 28 agosto 2007</w:t>
      </w:r>
    </w:p>
    <w:p>
      <w:pPr>
        <w:pStyle w:val="Heading2"/>
      </w:pPr>
      <w:r>
        <w:t>Erwägungen</w:t>
      </w:r>
    </w:p>
    <w:p>
      <w:r>
        <w:rPr>
          <w:b/>
        </w:rPr>
        <w:t>E. 1</w:t>
      </w:r>
    </w:p>
    <w:p>
      <w:r>
        <w:t>Le jugement critiqué a été rendu après l'entrée en vigueur, le 1er janvier 2007, de la loi fédérale sur le Tribunal fédéral du 17 juin 2005 (LTF; RS 173.110), de sorte que les présents recours sont soumis au nouveau droit ( art. 132 al. 1 LTF ).</w:t>
      </w:r>
    </w:p>
    <w:p>
      <w:r>
        <w:rPr>
          <w:b/>
        </w:rPr>
        <w:t>E. 2</w:t>
      </w:r>
    </w:p>
    <w:p>
      <w:r>
        <w:t>Le Tribunal fédéral examine d'office et librement la recevabilité des recours qui lui sont soumis ( ATF 132 I 140 consid. 1.1; 132 III 291 consid. 1 p. 292).</w:t>
      </w:r>
    </w:p>
    <w:p>
      <w:r>
        <w:rPr>
          <w:b/>
        </w:rPr>
        <w:t>E. 2.1</w:t>
      </w:r>
    </w:p>
    <w:p>
      <w:r>
        <w:t>Interjeté par la partie défenderesse qui a succombé dans sa requête de récusation d'expert prise devant l'autorité précédente et qui a ainsi qualité pour recourir ( art. 76 al. 1 LTF ; arrêt 4A_28/2007 du 30 mai 2007, destiné à la publication, consid. 1.1), le recours en matière civile est dirigé contre une décision incidente notifiée séparément et portant sur une demande de récusation au sens de l' art. 92 al. 1 LTF , rendue en matière civile par une autorité cantonale de dernière instance ( art. 75 LTF ).</w:t>
      </w:r>
    </w:p>
    <w:p>
      <w:r>
        <w:rPr>
          <w:b/>
        </w:rPr>
        <w:t>E. 2.2</w:t>
      </w:r>
    </w:p>
    <w:p>
      <w:r>
        <w:t>En cas de recours contre une décision préjudicielle ou incidente, la valeur litigieuse est déterminée par les conclusions restées litigieuses devant l'autorité compétente sur le fond ( art. 51 al. 1 let . c LTF).</w:t>
      </w:r>
    </w:p>
    <w:p>
      <w:r>
        <w:t>In casu, le procès au fond a trait à une action en responsabilité exercée contre un fondateur et un administrateur d'une société anonyme, à qui il est réclamé le montant de 1'212'006 fr. en capital. Le seuil de 30'000 fr. de l' art. 74 al. 1 let. b LTF est donc largement dépassé.</w:t>
      </w:r>
    </w:p>
    <w:p>
      <w:r>
        <w:rPr>
          <w:b/>
        </w:rPr>
        <w:t>E. 2.3</w:t>
      </w:r>
    </w:p>
    <w:p>
      <w:r>
        <w:t>Le recours a été déposé en temps utile ( art. 100 al. 1 LTF ).</w:t>
      </w:r>
    </w:p>
    <w:p>
      <w:r>
        <w:rPr>
          <w:b/>
        </w:rPr>
        <w:t>E. 2.4</w:t>
      </w:r>
    </w:p>
    <w:p>
      <w:r>
        <w:t>A teneur de l' art. 106 al. 2 LTF , le Tribunal fédéral n'examine la violation de droits fondamentaux ainsi que celle de dispositions de droit cantonal et intercantonal que si ce grief a été invoqué et motivé par le recourant. Il s'agit là du principe d'allégation (Rügepflicht). Cette exigence de motivation est calquée sur ce qui était exigé par la jurisprudence en matière de recours de droit public sur la base de l' art. 90 al. 1 let. b OJ ( ATF 133 III 393 consid. 6 et l'arrêt cité).</w:t>
      </w:r>
    </w:p>
    <w:p>
      <w:r>
        <w:rPr>
          <w:b/>
        </w:rPr>
        <w:t>E. 3</w:t>
      </w:r>
    </w:p>
    <w:p>
      <w:r>
        <w:t>A l'appui de son premier moyen, le recourant prétend que le jugement déféré n'est pas assez motivé, ce qui constitue une entorse à son droit d'être entendu institué par l' art. 29 al. 2 Cst. Il se prévaut encore, de manière vague, de la protection contre l'arbitraire ( art. 9 Cst. ).</w:t>
      </w:r>
    </w:p>
    <w:p>
      <w:r>
        <w:rPr>
          <w:b/>
        </w:rPr>
        <w:t>E. 3.1</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cependant pas tenu d'exposer et de discuter tous les faits, moyens de preuve et griefs invoqués par les parties. Il n'y a violation du droit d'être entendu que si l'autorité ne satisfait pas à son devoir minimum d'examiner et de traiter les problèmes pertinents ( ATF 130 II 530 consid. 4.3 p. 540; 129 I 232 consid. 3.2 p. 236; 129 II 497 consid. 2.2 p. 505).</w:t>
      </w:r>
    </w:p>
    <w:p>
      <w:r>
        <w:rPr>
          <w:b/>
        </w:rPr>
        <w:t>E. 3.2</w:t>
      </w:r>
    </w:p>
    <w:p>
      <w:r>
        <w:t>Dans le cas présent, le Président de la Cour de cassation civile a rappelé, en se référant à une disposition précise du CPC/VS et à un précédent cantonal publié à la RVJ 2001 p. 156 consid. 1b/aa, à quelles conditions le pourvoi en nullité était recevable contre une décision incidente relative à la récusation d'un expert. Retenant que le défendeur devait démontrer qu'il était exposé à un préjudice irréparable de nature juridique, il a jugé que ce dernier n'avait pas établi, et d'ailleurs même pas allégué, la menace d'un dommage de cette nature, d'où l'irrecevabilité du pourvoi en nullité.</w:t>
      </w:r>
    </w:p>
    <w:p>
      <w:r>
        <w:t>Cette motivation, limpide, répond en tous points au devoir de motivation déduit de l' art. 29 al. 2 Cst. La critique est sans fondement.</w:t>
      </w:r>
    </w:p>
    <w:p>
      <w:r>
        <w:rPr>
          <w:b/>
        </w:rPr>
        <w:t>E. 3.3</w:t>
      </w:r>
    </w:p>
    <w:p>
      <w:r>
        <w:t>Le moyen pris de l'arbitraire ne fait l'objet d'aucun développement intelligible. Il dénote seulement une mauvaise compréhension du jugement déféré. Il est irrecevable en vertu de l' art. 106 al. 2 LTF .</w:t>
      </w:r>
    </w:p>
    <w:p>
      <w:r>
        <w:rPr>
          <w:b/>
        </w:rPr>
        <w:t>E. 4</w:t>
      </w:r>
    </w:p>
    <w:p>
      <w:r>
        <w:t>Le recourant invoque les garanties du droit constitutionnel (art. 29 al. 1 et 30 al. 1 Cst.) en matière d'impartialité des experts judiciaires. Il prétend que l'expert A.________, ancien employé de la fiduciaire D.________, n'a pas informé les parties des relations qu'il entretient avec l'avocat B.________, conseil de la banque, laquelle contrôlerait l'intimée. Il fait grand cas que les précités sont tous deux administrateurs de la société E.________. Et de se référer à diverses pièces du dossier.</w:t>
      </w:r>
    </w:p>
    <w:p>
      <w:r>
        <w:rPr>
          <w:b/>
        </w:rPr>
        <w:t>E. 4.1</w:t>
      </w:r>
    </w:p>
    <w:p>
      <w:r>
        <w:t>On peut fortement douter qu'un tel grief satisfasse aux exigences strictes de motivation de l' art. 106 al. 2 LTF . Il n'importe, dès lors qu'il n'a aucun fondement.</w:t>
      </w:r>
    </w:p>
    <w:p>
      <w:r>
        <w:rPr>
          <w:b/>
        </w:rPr>
        <w:t>E. 4.2</w:t>
      </w:r>
    </w:p>
    <w:p>
      <w:r>
        <w:t>Selon la jurisprudence relative aux art. 29 al. 1 Cst. et 30 al. 1 Cst.,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127 I 196 consid. 2b p. 198; 126 I 68 consid. 3a p. 73, 168 consid. 2a p. 169).</w:t>
      </w:r>
    </w:p>
    <w:p>
      <w:r>
        <w:t>Tout d'abord, on ne voit pas en quoi le fait que l'expert ait travaillé à une époque indéterminée pour la fiduciaire D.________ puisse faire douter de son impartialité.</w:t>
      </w:r>
    </w:p>
    <w:p>
      <w:r>
        <w:t>Le recourant invoque, comme circonstance donnant l'apparence d'une prévention, l'appartenance à un même conseil d'administration de l'expert judiciaire et de l'avocat de la banque propriétaire de la partie adverse. Toutefois, cette allégation ne permet pas d'établir concrètement que l'expert se trouverait dans un rapport de subordination vis-à-vis de cet avocat. Certes, l'appartenance au même organe d'une société peut faciliter des contacts mutuels, mais cela n'est manifestement pas de nature à créer une quelconque apparence de prévention.</w:t>
      </w:r>
    </w:p>
    <w:p>
      <w:r>
        <w:rPr>
          <w:b/>
        </w:rPr>
        <w:t>E. 5</w:t>
      </w:r>
    </w:p>
    <w:p>
      <w:r>
        <w:t>En définitive, le recours en matière civile doit être rejeté dans la mesure de sa recevabilité.</w:t>
      </w:r>
    </w:p>
    <w:p>
      <w:r>
        <w:rPr>
          <w:b/>
        </w:rPr>
        <w:t>E. 6</w:t>
      </w:r>
    </w:p>
    <w:p>
      <w:r>
        <w:t>Comme la voie du recours en matière civile était ouverte en l'occurrence à considérer la valeur litigieuse déterminante ( art. 51 al. 1 let . c et 74 al. 1 LTF), le recours constitutionnel subsidiaire est irrecevable ( art. 113 LTF ).</w:t>
      </w:r>
    </w:p>
    <w:p>
      <w:r>
        <w:rPr>
          <w:b/>
        </w:rPr>
        <w:t>E. 7</w:t>
      </w:r>
    </w:p>
    <w:p>
      <w:r>
        <w:t>Vu l'issue du litige, le recourant, qui succombe, paiera les frais judiciaires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