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4A_112/2025 vom 26. März 2025</w:t>
      </w:r>
    </w:p>
    <w:p>
      <w:r>
        <w:t>Bundesgericht, 2025-03-26, DE</w:t>
      </w:r>
    </w:p>
    <w:p>
      <w:r>
        <w:rPr>
          <w:b/>
        </w:rPr>
        <w:t xml:space="preserve">Quelle: </w:t>
      </w:r>
      <w:r>
        <w:t>https://mcp.opencaselaw.ch/entscheid/bger_4A_112_2025</w:t>
      </w:r>
    </w:p>
    <w:p>
      <w:r>
        <w:t>FR: TF 4A_112/2025 du 26 mars 2025</w:t>
      </w:r>
    </w:p>
    <w:p>
      <w:r>
        <w:t>IT: TF 4A_112/2025 del 26 marzo 2025</w:t>
      </w:r>
    </w:p>
    <w:p>
      <w:pPr>
        <w:pStyle w:val="Heading2"/>
      </w:pPr>
      <w:r>
        <w:t>Erwägungen</w:t>
      </w:r>
    </w:p>
    <w:p>
      <w:r>
        <w:rPr>
          <w:b/>
        </w:rPr>
        <w:t>E. 1</w:t>
      </w:r>
    </w:p>
    <w:p>
      <w:r>
        <w:t>Mit Entscheid vom 6. Januar 2025 löste der Einzelrichter des Kreisgerichts St. Gallen die Beschwerdeführerin infolge eines Organisationsmangels auf, soweit sie nicht bereits aufgelöst war, und ordnete deren Liquidation nach den Vorschriften über den Konkurs an.</w:t>
      </w:r>
    </w:p>
    <w:p>
      <w:r>
        <w:t>Mit Entscheid vom 6. Februar 2025 trat das Kantonsgericht St. Gallen auf eine von der Beschwerdeführerin gegen diesen Entscheid erhobene Berufung wegen unzureichender Begründung der Rechtsmitteleingabe nicht ein.</w:t>
      </w:r>
    </w:p>
    <w:p>
      <w:r>
        <w:t>Mit Eingabe vom 6. März 2025 erklärte die Beschwerdeführerin dem Bundesgericht, den Entscheid des Kantonsgerichts St. Gallen vom 6. Februar 2025 mit Beschwerde anfechten zu wollen.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 Die Begründung hat ferner in der Beschwerdeschrift selbst zu erfolgen und der blosse Verweis auf Ausführungen in anderen Rechtsschriften oder auf die Akten reicht nicht aus ( BGE 143 II 283 E. 1.2.3; 140 III 115 E. 2). Stützt sich der angefochtene Entscheid auf mehrere selbstständige Begründungen, so muss sich die Beschwerde mit jeder einzelnen auseinandersetzen, sonst wird darauf nicht eingetreten ( BGE 142 III 364 E. 2.4 mit Hinweisen; vgl. auch BGE 143 IV 40 E. 3.4).</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können ( Art. 97 Abs. 1 BGG ). Neue Tatsachen und Beweismittel sind grundsätzlich ausgeschlossen ( Art. 99 Abs. 1 BGG ).</w:t>
      </w:r>
    </w:p>
    <w:p>
      <w:r>
        <w:t>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Die Beschwerdeführerin setzt sich in ihrer Beschwerdeeingabe vom 6. März 2025 nicht hinreichend mit den Erwägungen des angefochtenen Entscheids des Kantonsgerichts St. Gallen vom 6. Februar 2025 auseinander und zeigt nicht rechtsgenügend auf, inwiefern die Vorinstanz mit ihrem Nichteintretensentscheid Bundesrecht verletzt hätte. Vielmehr unterbreitet sie dem Bundesgericht in unzulässiger Weise ihre eigene Sicht der Dinge, ohne eine hinreichende Sachverhaltsrüge zu erheben. Damit verfehlt sie die gesetzlichen Begründungsanforderungen.</w:t>
      </w:r>
    </w:p>
    <w:p>
      <w:r>
        <w:t>Auf die Beschwerde ist somit im vereinfachten Verfahren nach Art. 108 Abs. 1 lit. b BGG nicht einzutreten.</w:t>
      </w:r>
    </w:p>
    <w:p>
      <w:r>
        <w:rPr>
          <w:b/>
        </w:rPr>
        <w:t>E. 3</w:t>
      </w:r>
    </w:p>
    <w:p>
      <w:r>
        <w:t>Die Beschwerdeführerin wird bei diesem Verfahrensausgang kostenpflichtig ( Art. 66 Abs. 1 BGG ). Dem Beschwerdegegner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