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4A_112/2019 vom 6. März 2019</w:t>
      </w:r>
    </w:p>
    <w:p>
      <w:r>
        <w:t>Bundesgericht, 2019-03-06, FR</w:t>
      </w:r>
    </w:p>
    <w:p>
      <w:r>
        <w:rPr>
          <w:b/>
        </w:rPr>
        <w:t xml:space="preserve">Quelle: </w:t>
      </w:r>
      <w:r>
        <w:t>https://mcp.opencaselaw.ch/entscheid/bger_4A_112_2019</w:t>
      </w:r>
    </w:p>
    <w:p>
      <w:r>
        <w:t>FR: TF 4A_112/2019 du 6 mars 2019</w:t>
      </w:r>
    </w:p>
    <w:p>
      <w:r>
        <w:t>IT: TF 4A_112/2019 del 6 marzo 2019</w:t>
      </w:r>
    </w:p>
    <w:p>
      <w:pPr>
        <w:pStyle w:val="Heading2"/>
      </w:pPr>
      <w:r>
        <w:t>Erwägungen</w:t>
      </w:r>
    </w:p>
    <w:p>
      <w:r>
        <w:rPr>
          <w:b/>
        </w:rPr>
        <w:t>E. 1</w:t>
      </w:r>
    </w:p>
    <w:p>
      <w:r>
        <w:t>Le 15 septembre 2015, A.________ a ouvert action contre V.________ et la société U.________ Sàrl devant le Tribunal des prud'hommes du canton de Genève. Devant le même tribunal et le 19 novembre 2015, la demanderesse a également ouvert action contre W.________. Les trois défendeurs devaient être condamnés à payer solidairement 76'331 fr. à titre de solde de salaire, par suite d'une activité que la demanderesse prétendait avoir fournie à leur service dans un restaurant à Genève. Ce montant devait porter intérêts au taux de 5% par an dès le 1er septembre 2014. La demanderesse réclamait en outre 8'400 fr. pour remboursement de frais d'avocat.</w:t>
      </w:r>
    </w:p>
    <w:p>
      <w:r>
        <w:t>Le tribunal a ordonné la jonction des causes et les défendeurs ont conclu au rejet de l'action. Selon leur argumentation, ils ne s'étaient pas liés à la demanderesse par un contrat de travail; ils lui avaient remis la gérance de l'établissement et elle l'exploitait pour son propre compte.</w:t>
      </w:r>
    </w:p>
    <w:p>
      <w:r>
        <w:t>Le Tribunal des prud'hommes a interrogé les parties ou leurs représentants et il a recueilli divers témoignages. Il s'est prononcé le 22 décembre 2017. Accueillant partiellement l'action, il a condamné les trois défendeurs à payer solidairement 39'778 fr.85 à titre d'arriéré de salaire soumis aux déductions sociales et 2'000 fr. à titre de dommages-intérêts nets. Selon le jugement, les défendeurs ont été liés à la demanderesse par un contrat de travail du 25 avril 2014 au 31 janvier 2015.</w:t>
      </w:r>
    </w:p>
    <w:p>
      <w:r>
        <w:rPr>
          <w:b/>
        </w:rPr>
        <w:t>E. 2</w:t>
      </w:r>
    </w:p>
    <w:p>
      <w:r>
        <w:t>V.________ et W.________ ont appelé de ce jugement; ils soutenaient que U.________ Sàrl avait seule qualité d'employeuse et qu'elle était donc seule débitrice d'un arriéré de salaire.</w:t>
      </w:r>
    </w:p>
    <w:p>
      <w:r>
        <w:t>La Chambre des prud'hommes de la Cour de justice a statué le 30 janvier 2019. Elle a dans une large mesure accueilli l'appel et réformé le jugement. Seule W.________ est condamnée à payer 4'283 fr. à titre de salaire brut, avec intérêts au taux de 5% par an dès le 25 juin 2014, sous déduction d'un montant net de 2'360 francs. Selon l'arrêt, la demanderesse a travaillé au service de cette défenderesse seulement, et du 1er au 24 juin 2014 seulement. La demanderesse a certes travaillé au restaurant aussi avant et après ces dates, mais pas à titre d'employée des défendeurs V.________ ou W.________.</w:t>
      </w:r>
    </w:p>
    <w:p>
      <w:r>
        <w:rPr>
          <w:b/>
        </w:rPr>
        <w:t>E. 3</w:t>
      </w:r>
    </w:p>
    <w:p>
      <w:r>
        <w:t>Agissant par la voie du recours en matière civile, la demanderesse requiert le Tribunal fédéral d'annuler l'arrêt de la Cour de justice et de renvoyer la cause à cette autorité pour qu'il soit « statué à nouveau dans le sens des considérants ».</w:t>
      </w:r>
    </w:p>
    <w:p>
      <w:r>
        <w:t>Une demande d'assistance judiciaire est jointe au recours.</w:t>
      </w:r>
    </w:p>
    <w:p>
      <w:r>
        <w:rPr>
          <w:b/>
        </w:rPr>
        <w:t>E. 4</w:t>
      </w:r>
    </w:p>
    <w:p>
      <w:r>
        <w:t>Selon la jurisprudence relative à l' art. 42 al. 1 LTF , le mémoire de recours adressé au Tribunal fédéral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Les conclusions doivent en principe être libellées de telle manière que le Tribunal fédéral puisse, s'il y a lieu, les incorporer sans modification au dispositif de sa propre décision ( ATF 137 III 617 consid. 4.2 et 4.3 p. 618, relatif à l' art. 311 al. 1 CPC ).</w:t>
      </w:r>
    </w:p>
    <w:p>
      <w:r>
        <w:t>En l'espèce, rien ne semble exclure que le Tribunal fédéral puisse mettre lui-même fin au litige, en cas de succès du recours, plutôt que renvoyer la cause à la Cour de justice. Les conclusions de la demanderesse sont donc lacunaires. La motivation du recours ne remédie pas à cette déficience car elle ne permet pas de reconnaître sans équivoque quelles sont les prestations que la demanderesse persiste à réclamer en sus de celles allouées par l'arrêt attaqué. La demanderesse semble en effet admettre qu'elle ne peut prétendre à aucun salaire à raison de son activité antérieure au 1er juin 2014 car elle ne discute et elle ne conteste que les considérants de la Cour de justice relatifs à l'activité postérieure au 24 du même mois. Il s'ensuit que le recours en matière civile est irrecevable faute de conclusions suffisantes.</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la demanderesse doit acquitter l'émolument à percevoir par le Tribunal fédéral.</w:t>
      </w:r>
    </w:p>
    <w:p>
      <w:r>
        <w:t>Par ces motifs, vu les art. 64 al. 3 et 108 al. 1 let. a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