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4A_111/2021 vom 26. Februar 2021</w:t>
      </w:r>
    </w:p>
    <w:p>
      <w:r>
        <w:t>Bundesgericht, 2021-02-26, FR</w:t>
      </w:r>
    </w:p>
    <w:p>
      <w:r>
        <w:rPr>
          <w:b/>
        </w:rPr>
        <w:t xml:space="preserve">Quelle: </w:t>
      </w:r>
      <w:r>
        <w:t>https://mcp.opencaselaw.ch/entscheid/bger_4A_111_2021</w:t>
      </w:r>
    </w:p>
    <w:p>
      <w:r>
        <w:t>FR: TF 4A_111/2021 du 26 février 2021</w:t>
      </w:r>
    </w:p>
    <w:p>
      <w:r>
        <w:t>IT: TF 4A_111/2021 del 26 febbraio 2021</w:t>
      </w:r>
    </w:p>
    <w:p>
      <w:pPr>
        <w:pStyle w:val="Heading2"/>
      </w:pPr>
      <w:r>
        <w:t>Erwägungen</w:t>
      </w:r>
    </w:p>
    <w:p>
      <w:r>
        <w:rPr>
          <w:b/>
        </w:rPr>
        <w:t>E. 1</w:t>
      </w:r>
    </w:p>
    <w:p>
      <w:r>
        <w:t>Le refus de l'assistance judiciaire est une décision incidente qui est susceptible de causer un préjudice irréparable et, partant, sujette à recours en vertu de l' art. 93 al. 1 let. a LTF ( ATF 133 IV 335 consid. 4 p. 338; 129 I 129 consid. 1.1 p. 131; arrêt 4A_44/2018 du 5 mars 2018 consid. 1.2). Pour le surplus, les conditions de recevabilité du recours en matière civile sont réalisées, notamment celles afférentes à la valeur litigieuse minimale de 30'000 fr. ( art. 74 al. 1 let. b LTF ) et au délai de recours ( art. 100 al. 1 LTF ).</w:t>
      </w:r>
    </w:p>
    <w:p>
      <w:r>
        <w:rPr>
          <w:b/>
        </w:rPr>
        <w:t>E. 2.1</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Dans son mémoire, le recourant présente un exposé des faits qui ne contient aucune critique satisfaisant aux exigences de l' art. 106 al. 2 LTF . Il n'en sera dès lors pas tenu compte.</w:t>
      </w:r>
    </w:p>
    <w:p>
      <w:r>
        <w:rPr>
          <w:b/>
        </w:rPr>
        <w:t>E. 3</w:t>
      </w:r>
    </w:p>
    <w:p>
      <w:r>
        <w:t>Le recourant reproche à la cour cantonale d'avoir rejeté sa demande d'assistance judiciaire, au motif que sa cause paraissait dépourvue de chances de succès.</w:t>
      </w:r>
    </w:p>
    <w:p>
      <w:r>
        <w:rPr>
          <w:b/>
        </w:rPr>
        <w:t>E. 3.1</w:t>
      </w:r>
    </w:p>
    <w:p>
      <w:r>
        <w:t>En vertu de l' art. 117 CPC , une personne a droit à l'assistance judiciaire si elle ne dispose pas de ressources suffisantes (let. a) et si sa cause ne paraît pas dépourvue de toute chance de succès (let. b).</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 Le critère des chances de succès doit être examiné au moment du dépôt de la requête d'assistance judiciaire et sur la base d'un examen sommaire ( ATF 142 III 138 consid. 5.1; 138 III 217 consid. 2.2.4; 133 III 614 consid. 5 et les arrêts cités).</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4A_8/2017 du 30 mars 2017 consid. 3.1; 4A_614/2015 du 25 avril 2016 consid. 3.2; 4A_454/2008 du 1er décembre 2008 consid. 4.2).</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4A_8/2017, précité, consid. 3.1; 4A_325/2016 du 19 octobre 2016 consid. 4.2; 4A_614/2015, précité, consid. 3.2; cf. aussi ATF 129 I 129 consid. 2.1; 124 I 304 consid. 2c).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du 30 mars 2020 consid. 3; 4A_375/2016 du 8 février 2017 consid. 3.2 et les arrêts cités).</w:t>
      </w:r>
    </w:p>
    <w:p>
      <w:r>
        <w:rPr>
          <w:b/>
        </w:rPr>
        <w:t>E. 3.2</w:t>
      </w:r>
    </w:p>
    <w:p>
      <w:r>
        <w:t>Dans la décision attaquée, la cour cantonale relève que les arguments avancés par l'intéressé dans son écriture d'appel paraissent,</w:t>
      </w:r>
    </w:p>
    <w:p>
      <w:r>
        <w:t>prima facie , infondés. Ce dernier ne dispose en effet d'aucun titre valable pour demeurer dans l'appartement, dès lors que le bail liant l'intimée à l'ex-épouse du recourant a été résilié. La circonstance selon laquelle l'intimée aurait eu connaissance du fait que le recourant était resté dans l'appartement postérieurement au jugement de divorce, lequel avait attribué le logement à son ex-épouse, semble a priori dénuée de pertinence, car elle n'est pas de nature à créer une nouvelle relation contractuelle avec la propriétaire des locaux. L'existence d'un bail conclu tacitement pour la période postérieure à la résiliation du bail n'est par ailleurs pas rendue vraisemblable, au vu de la teneur des courriers qui ont été adressés au recourant en date des 3 et 10 octobre 2019. Pour le reste, les conclusions subsidiaires prises par l'intéressé dans son mémoire d'appel paraissent sans objet compte tenu de l'écoulement du temps.</w:t>
      </w:r>
    </w:p>
    <w:p>
      <w:r>
        <w:rPr>
          <w:b/>
        </w:rPr>
        <w:t>E. 3.3</w:t>
      </w:r>
    </w:p>
    <w:p>
      <w:r>
        <w:t>Le recourant fait grief à la cour cantonale de n'avoir pas correctement apprécié les chances de succès de son appel. Il lui reproche notamment d'avoir nié,</w:t>
      </w:r>
    </w:p>
    <w:p>
      <w:r>
        <w:t>a priori , l'existence d'un bail tacite, en omettant de prendre en considération certains éléments. Il soutient enfin que la question d'éventuels motifs humanitaires permettant de surseoir à l'exécution du jugement d'évacuation, conformément à l'art. 30 al. 4 de la loi genevoise d'application du code civil suisse (LaCC/GE; RSG E 1 05), aurait dû être examinée.</w:t>
      </w:r>
    </w:p>
    <w:p>
      <w:r>
        <w:rPr>
          <w:b/>
        </w:rPr>
        <w:t>E. 3.4</w:t>
      </w:r>
    </w:p>
    <w:p>
      <w:r>
        <w:t>En l'espèce, le recourant fonde, dans une large mesure, sa critique sur des faits qui ne ressortent pas de la décision attaquée, notamment lorsqu'il fait valoir qu'il a continué à payer la moitié du loyer après le prononcé du divorce ou quand il affirme que la propriétaire des lieux était au courant de la situation des deux ex-époux et n'avait soulevé aucune objection à cet égard, alors même qu'une liste des occupants de l'appartement lui était régulièrement remise. Il ne soutient toutefois pas ni ne démontre que la cour cantonale aurait omis de constater certains éléments de fait régulièrement avancés ou aurait établi les faits de manière arbitraire. Sa critique est dès lors irrecevable sur ce point.</w:t>
      </w:r>
    </w:p>
    <w:p>
      <w:r>
        <w:t>Le recourant fait fausse route lorsqu'il soutient que la question d'éventuels motifs humanitaires au sens de l'art. 30 al. 4 LaCC aurait dû être instruite. Sur ce point, la cour cantonale a en effet souligné que ladite disposition ne vise que les litiges relevant de la compétence du Tribunal des baux et loyers genevois, raison pour laquelle l'art. 30 al. 4 LaCC n'était pas applicable en l'espèce. Or, l'intéressé ne s'en prend pas à la motivation des juges précédents sur ce point, de sorte qu'il n'y a pas lieu de s'y attarder.</w:t>
      </w:r>
    </w:p>
    <w:p>
      <w:r>
        <w:t>Pour le reste, le recourant se contente de substituer sa propre appréciation des chances de succès à celle de l'autorité précédente sans toutefois démontrer que la cour cantonale aurait méconnu le droit fédéral en niant l'existence de chances de succès. En tout état de cause, on ne saurait reprocher à la cour cantonale d'avoir abusé de son large pouvoir d'appréciation en retenant que la cause apparaissait dénuée de chances de succès.</w:t>
      </w:r>
    </w:p>
    <w:p>
      <w:r>
        <w:rPr>
          <w:b/>
        </w:rPr>
        <w:t>E. 4</w:t>
      </w:r>
    </w:p>
    <w:p>
      <w:r>
        <w:t>Au vu de ce qui précède, le recours, manifestement mal fondé, doit être rejeté dans la mesure de sa recevabilité, ce qu'il y a lieu de constater selon la procédure simplifiée prévue par l' art. 109 al. 2 let. a LTF .</w:t>
      </w:r>
    </w:p>
    <w:p>
      <w:r>
        <w:t>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