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110/2023 vom 14. März 2023</w:t>
      </w:r>
    </w:p>
    <w:p>
      <w:r>
        <w:t>Bundesgericht, 2023-03-14, DE</w:t>
      </w:r>
    </w:p>
    <w:p>
      <w:r>
        <w:rPr>
          <w:b/>
        </w:rPr>
        <w:t xml:space="preserve">Quelle: </w:t>
      </w:r>
      <w:r>
        <w:t>https://mcp.opencaselaw.ch/entscheid/bger_4A_110_2023</w:t>
      </w:r>
    </w:p>
    <w:p>
      <w:r>
        <w:t>FR: TF 4A 110/2023 du 14 mars 2023</w:t>
      </w:r>
    </w:p>
    <w:p>
      <w:r>
        <w:t>IT: TF 4A 110/2023 del 14 marzo 2023</w:t>
      </w:r>
    </w:p>
    <w:p>
      <w:pPr>
        <w:pStyle w:val="Heading2"/>
      </w:pPr>
      <w:r>
        <w:t>Regeste</w:t>
      </w:r>
    </w:p>
    <w:p>
      <w:r>
        <w:t>Forderung, | Obligationenrecht (allgemein)</w:t>
      </w:r>
    </w:p>
    <w:p>
      <w:pPr>
        <w:pStyle w:val="Heading2"/>
      </w:pPr>
      <w:r>
        <w:t>Erwägungen</w:t>
      </w:r>
    </w:p>
    <w:p>
      <w:r>
        <w:rPr>
          <w:b/>
        </w:rPr>
        <w:t>E. 1</w:t>
      </w:r>
    </w:p>
    <w:p>
      <w:r>
        <w:t>Mit Entscheid vom 16. Mai 2022 wies das Regionalgericht Bern-Mittelland die vom Beschwerdeführer gegen die Beschwerdegegnerin erhobenen Klagen ab und auferlegte ihm die Prozesskosten. Mit Entscheid vom 26. Januar 2023 trat das Obergericht des Kantons Bern auf die vom Beschwerdeführer gegen den regionalgerichtlichen Entscheid vom 16. Mai 2022 erhobene Berufung infolge unzureichender Begründung des Rechtsmittels nicht ein. Mit Eingabe vom 16. Februar 2023 erklärte der Beschwerdeführer dem Bundesgericht, den Entscheid des Obergerichts des Kantons Bern vom 26. Januar 2023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16. Februar 2023 nicht hinreichend mit den Erwägungen des angefochtenen Entscheids des Obergerichts des Kantons Bern vom 26. Januar 2023 auseinander und zeigt nicht rechtsgenügend auf, inwiefern die Vorinstanz mit ihrem Nichteintretensentscheid Bundesrecht verletzt hätte. Stattdessen unterbreitet er dem Bundesgericht unter Hinweis auf verschiedene Beilagen in unzulässiger Weise seine eigene Sicht der Dinge. Auf die Beschwerde ist somit mangels hinreichender Begründung nicht einzutreten ( Art. 108 Abs. 1 lit. b BGG ).</w:t>
      </w:r>
    </w:p>
    <w:p>
      <w:r>
        <w:rPr>
          <w:b/>
        </w:rPr>
        <w:t>E. 3</w:t>
      </w:r>
    </w:p>
    <w:p>
      <w:r>
        <w:t>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