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4A_110/2012 vom 9. Oktober 2012</w:t>
      </w:r>
    </w:p>
    <w:p>
      <w:r>
        <w:t>Bundesgericht, 2012-10-09, FR</w:t>
      </w:r>
    </w:p>
    <w:p>
      <w:r>
        <w:rPr>
          <w:b/>
        </w:rPr>
        <w:t xml:space="preserve">Quelle: </w:t>
      </w:r>
      <w:r>
        <w:t>https://mcp.opencaselaw.ch/entscheid/bger_4A_110_2012</w:t>
      </w:r>
    </w:p>
    <w:p>
      <w:r>
        <w:t>FR: TF 4A_110/2012 du 9 octobre 2012</w:t>
      </w:r>
    </w:p>
    <w:p>
      <w:r>
        <w:t>IT: TF 4A_110/2012 del 9 ottobre 2012</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n'avait pas son domicile en Suisse au moment déterminant. Les dispositions du chapitre 12 de la LDIP sont donc applicables ( art. 176 al. 1 LDIP ).</w:t>
      </w:r>
    </w:p>
    <w:p>
      <w:r>
        <w:t>La sentence attaquée revêt un caractère final et peut donc être attaquée pour l'ensemble des motifs prévus à l' art. 190 al. 2 LDIP . Les griefs soulevés par le recourant figurent dans la liste exhaustive de ces motifs-là. Quant à sa conclusion tendant à ce que le Tribunal fédéral prononce lui-même la récusation de l'arbitre incriminé, elle est recevable ( ATF 136 III 605 consid. 3.3.4).</w:t>
      </w:r>
    </w:p>
    <w:p>
      <w:r>
        <w:t>Le recourant, qui a pris part à la procédure devant le TAS, est particulièrement touché par la sentence attaquée, car celle-ci confirme une décision prononçant sa suspension pour une durée de deux ans et le condamne à payer une amende de 20'800 euros à l'UCI. Il a ainsi un intérêt personnel, actuel et digne de protection à ce que cette sentence n'ait pas été rendue en violation des garanties découlant de l' art. 190 al. 2 LDIP , ce qui lui confère la qualité pour recourir ( art. 76 al. 1 LTF ).</w:t>
      </w:r>
    </w:p>
    <w:p>
      <w:r>
        <w:t>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remplie dès lors que l'UCI concluait, dans son appel au TAS, à ce que l'amende de 7'500 euros, infligée au recourant par la Commission disciplinaire en matière de dopage de Z.________, fût fixée à 104'432,30 euros.</w:t>
      </w:r>
    </w:p>
    <w:p>
      <w:r>
        <w:t>Le recours a été déposé dans la forme prévue par la loi ( art. 42 al. 1 LTF ). Il l'a été en temps utile. En vertu de l' art. 100 al. 1 LTF , le recours contre une décision doit être déposé devant le Tribunal fédéral dans les 30 jours qui suivent la notification de l'expédition complète. Selon la jurisprudence, la notification par fax d'une sentence du TAS en matière d'arbitrage international ne fait pas courir le délai de l' art. 100 al. 1 LTF (arrêt 4A_428/2011 du 13 février 2012 consid. 1.3 et l'arrêt cité). En l'espèce, la sentence originale, signée par le président de la Formation, a été notifiée aux parties sous plis recommandés du 19 janvier 2012 et Me Rigozzi, qui représentait alors le recourant, l'a reçue le lendemain. En déposant son mémoire le 20 février 2012, 30 jours à compter du lendemain de la réception de la sentence attaquée (cf. art. 44 al. 1 LTF ), le 19 février 2012 étant un dimanche (cf. 45 al. 1 LTF), le recourant a donc respecté le délai légal dans lequel il devait saisir le Tribunal fédéral.</w:t>
      </w:r>
    </w:p>
    <w:p>
      <w:r>
        <w:t>Rien ne s'oppose, partant, à l'entrée en matière.</w:t>
      </w:r>
    </w:p>
    <w:p>
      <w:r>
        <w:rPr>
          <w:b/>
        </w:rPr>
        <w:t>E. 2</w:t>
      </w:r>
    </w:p>
    <w:p>
      <w:r>
        <w:t>Dans un premier moyen, fondé sur l' art. 190 al. 2 let. a LDIP , le recourant se plaint de la composition irrégulière de la Formation qui a rendu la sentence attaquée.</w:t>
      </w:r>
    </w:p>
    <w:p>
      <w:r>
        <w:rPr>
          <w:b/>
        </w:rPr>
        <w:t>E. 2.1.1</w:t>
      </w:r>
    </w:p>
    <w:p>
      <w:r>
        <w:t>Un arbitre doit, à l'instar d'un juge étatique, présenter des garanties suffisantes d'indépendance et d'impartialité ( ATF 125 I 389 consid. 4a; 119 II 271 consid. 3b et les arrêts cités). Le non-respect de cette règle conduit à une désignation irrégulière relevant de l' art. 190 al. 2 let. a LDIP ( ATF 118 II 359 consid. 3b). Pour dire si un arbitre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136 III 605 consid. 3.2.1 p. 608; 129 III 445 consid. 3.3.3 p. 454).</w:t>
      </w:r>
    </w:p>
    <w:p>
      <w:r>
        <w:rPr>
          <w:b/>
        </w:rPr>
        <w:t>E. 2.1.2</w:t>
      </w:r>
    </w:p>
    <w:p>
      <w:r>
        <w:t>La partie qui entend récuser un arbitre doit invoquer le motif de récusation aussitôt qu'elle en a connaissance. Cette règle jurisprudentielle, reprise expressément à l'art. R34 du Code de l'arbitrage en matière de sport (ci-après: le Code), selon lequel la récusation doit être requise dans les sept jours suivant la connaissance de la cause de récusation,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4A_506/2007, précité, consid. 3.1.2). La règle en question constitue une application, au domaine de la procédure arbitrale, du principe de la bonne foi. En vertu de ce principe, le droit d'invoquer le moyen tiré de la composition irrégulière du tribunal arbitral se périme si la partie prétendument lésée ne le fait pas valoir immédiatement, car cette dernière ne saurait garder ce moyen en réserve pour ne l'invoquer qu'en cas d'issue défavorable de la procédure arbitrale ( ATF 136 III 605 consid. 3.2.2; 129 III 445 consid. 3.1 p. 449 et les arrêts cités).</w:t>
      </w:r>
    </w:p>
    <w:p>
      <w:r>
        <w:rPr>
          <w:b/>
        </w:rPr>
        <w:t>E. 2.2.1</w:t>
      </w:r>
    </w:p>
    <w:p>
      <w:r>
        <w:t>Le recourant déplore le manque d'indépendance et d'impartialité de l'arbitre Carrard. A cet égard, il fait valoir, en premier lieu, que cet arbitre n'a pas respecté son devoir de révéler une circonstance figurant dans la liste orange, à l'art. 3.1.3 des lignes directrices sur les conflits d'intérêts dans l'arbitrage international, édictées par l'International Bar Association (IBA Guidelines on Conflicts of Interest in International Arbitration; ci-après: les lignes directrices de l'IBA), à savoir le fait d'avoir été nommé à deux reprises ou plus comme arbitre par une des parties au cours des trois dernières années (sur le contenu, la portée et les limites de cette directive d'origine privée, cf. l'arrêt 4A_506/2007 du 20 mars 2008 consid. 3.3.2.2 et les auteurs cités; voir aussi: MATTHIAS LEEMANN, Challenging international arbitration awards in Switzerland on the ground of lack of independence and impartiality of an arbitrator, in Bulletin de l'Association Suisse de l'Arbitrage [ASA] 2011 p. 10 ss, 14, avec d'autres références à la note de pied 15). Selon lui, dans l'année précédant la nomination par elle de Me Olivier Carrard comme arbitre (le 5 janvier 2011), l'intimée avait déjà désigné la même personne ès qualités dans quatre affaires au moins où elle contestait l'application qui avait été faite par la fédération nationale en cause de l'art. 326 al. 1 RAD (Redondo, le 15 février 2010; Duval, le 21 avril 2010; Larpe, le 21 octobre 2010; Giunti, le 1er décembre 2010). Il faut y ajouter une cinquième affaire dans laquelle la nomination de l'arbitre Carrard était intervenue peu de temps après celle qui avait été effectuée dans la cause en litige (Sentjens, le 14 février 2011). Outre la violation du devoir de révélation imputée à l'arbitre Carrard, le recourant soutient, en deuxième lieu, que le fait, pour celui-ci, d'avoir été nommé cinq fois au moins en tant qu'arbitre par l'intimée en moins d'une année constitue en soi une circonstance démontrant que l'arbitre incriminé ne présentait pas des garanties suffisantes d'indépendance et d'impartialité. En troisième lieu, de l'avis du recourant, les nominations répétées du même arbitre par la même partie seraient d'autant plus préjudiciables et suspectes qu'elles ont été faites dans des affaires portant sur la même question juridique.</w:t>
      </w:r>
    </w:p>
    <w:p>
      <w:r>
        <w:t>L'intimée objecte, principalement, que le droit du recourant d'invoquer l' art. 190 al. 2 let. a LDIP est périmé. Selon elle, à la date de l'audience de jugement dans la présente affaire (13 juillet 2011), le recourant connaissait en tout cas trois sentences qui abordaient la question de l'amende et qui avaient été rendues par une Formation comprenant l'arbitre Carrard; il s'agit des sentences Redondo et Duval, susmentionnées, auxquelles il convient d'ajouter la sentence du 8 mars 2011 dans les causes TAS 2010/A/2038, Franco Pellizotti c. CONI &amp; UCI, et TAS 2011/A/2335, UCI c. Franco Pellizotti, FCI et CONI (ci-après: la sentence Pellizotti), qui avait été publiée sur le site internet du TAS le 14 juin 2011. Quant aux sentences Larpe et Giunti, elles ne se prononçaient pas sur le principe de l'amende. La sentence Sentjens, en revanche, le faisait, au regard des art. 1er et 14 CEDH et du principe de la proportionnalité, mais elle n'avait pas encore été rendue à la date de l'audience précitée. A suivre l'intimée, étant donné la connaissance qu'avait alors le recourant des affaires dans lesquelles elle avait désigné Me Carrard comme arbitre, les déclarations qu'il avait faites lors de cette audience, et singulièrement celle voulant qu'il n'eût aucun problème avec la constitution du panel, alors qu'il aurait eu matière à demander la récusation dudit arbitre, entraînaient la forclusion du droit de l'intéressé de se prévaloir a posteriori de la composition irrégulière de la Formation ayant rendu la sentence attaquée. A titre subsidiaire, l'intimée conteste que les trois raisons invoquées par le recourant suffisent à fonder un grief de ce chef. Tout en concédant qu'elle nomme souvent Olivier Carrard comme arbitre, ce que l'ancien conseil du recourant ne pouvait du reste ignorer, elle assure qu'il ne l'a jamais représentée devant les tribunaux et qu'il n'a jamais été "un membre ni un employé ni un mandataire de l'association" (réponse, n. 46). Elle ajoute que la sentence attaquée est la seule à s'être penchée sur la question de la validité de la sanction financière au regard du droit suisse, de sorte que les autres sentences citées par le recourant ne sauraient être regardées comme des précédents en la matière. Toujours selon l'intimée, le recourant avait pour unique préoccupation de savoir si l'arbitre Carrard se sentait capable d'émettre un avis objectif sur la question litigieuse, nonobstant sa participation au prononcé des sentences Redondo et Duval. Or, les déclarations faites par cet arbitre à l'audience de jugement avaient rassuré le recourant.</w:t>
      </w:r>
    </w:p>
    <w:p>
      <w:r>
        <w:t>De son côté, le TAS considère, lui aussi, que la contestation de la composition de la Formation est tardive. Il soutient fermement que, malgré ses dénégations, le recourant a eu connaissance des sentences Larpe et Giunti avant d'avoir reçu le dispositif de la sentence attaquée. Il insiste, par ailleurs, sur le fait qu'à aucun moment au cours de toute la procédure d'arbitrage, l'ancien mandataire du recourant, Me Rigozzi, qui est un spécialiste de l'arbitrage sportif et l'auteur de plusieurs articles sur le TAS devant lequel il plaide régulièrement, n'a contesté la présence de Me Carrard dans la Formation alors qu'il aurait pu le faire immédiatement après avoir appris la nomination de cet arbitre par l'intimée, la participation de celui-ci à la reddition des sentences Redondo et Duval entraînant déjà objectivement l'application de l'art. 3.1.3 des lignes directrices de l'IBA. En tout état de cause, le TAS est d'avis qu'en raison des spécificités de l'arbitrage sportif, il conviendrait de faire une exception au critère formel de la liste orange pour ce type d'arbitrage, à l'instar de ce qui est proposé dans la note explicative n° 6 à cette disposition pour les situations, tel l'arbitrage maritime, dans lesquelles le choix des arbitres s'effectue au sein d'un groupe très restreint de spécialistes. Il souligne, enfin, comme preuve supplémentaire de l'indépendance de l'arbitre incriminé, que la sentence attaquée s'écarte complètement des autres décisions comparables rendues par des Formations dans lesquelles siégeait Me Carrard.</w:t>
      </w:r>
    </w:p>
    <w:p>
      <w:r>
        <w:rPr>
          <w:b/>
        </w:rPr>
        <w:t>E. 2.2.2</w:t>
      </w:r>
    </w:p>
    <w:p>
      <w:r>
        <w:t>Les principes énoncés au consid. 2.1.2 du présent arrêt ont été appliqués par le Tribunal fédéral dans un cas où l'art. 3.1.3 des lignes directrices de l'IBA était susceptible d'entrer en ligne de compte. Le recourant a été considéré comme forclos pour ne pas avoir demandé la récusation d'un arbitre au moment où la désignation de celui-ci avait été confirmée, bien qu'il sût que cet arbitre avait déjà été nommé à deux reprises au moins par son adverse partie au cours des trois dernières années (arrêt 4A_256/2009 du 11 janvier 2010 consid. 3.1.2, approuvé par BERNHARD BERGER, in RJB 148/2012 p. 165). Rien ne s'oppose donc à l'application de ces principes dans la présente espèce pour autant que les conditions de leur mise en oeuvre soient réalisées. On en jugera en fonction de la connaissance que le recourant avait à l'époque des circonstances pertinentes à cet égard. Comme l'intéressé était alors assisté d'un mandataire en la personne de Me Rigozzi, la connaissance de telles circonstances par ce représentant sera directement attribuée au représenté (représentation de la connaissance; Wissensvertretung; cf. CHRISTINE CHAPPUIS, in Commentaire romand, Code des obligations I, 2e éd. 2012, n° 21 ad art. 32 CO ). Le changement de mandataire, opéré par le recourant pour on ne sait quelle raison après la notification des motifs de la sentence entreprise, demeure sans incidence dans ce contexte.</w:t>
      </w:r>
    </w:p>
    <w:p>
      <w:r>
        <w:t>Il y a controverse sur le point de savoir quand Me Rigozzi a appris l'existence des sentences, non publiées, Larpe (rendue le 24 mars 2011) et Giunti (rendue le 30 mai 2011) et le fait qu'elles avaient été rendues avec la participation de Me Carrard en tant qu'arbitre nommé par l'intimée. Le recourant soutient qu'il s'est agi du 10 janvier 2012, date à laquelle le TAS, donnant suite à sa requête du 29 décembre 2011, lui a transmis ces deux sentences auxquelles la sentence entreprise, dont les motifs lui avaient été communiqués par télécopie du 23 décembre 2011, faisait référence. A l'inverse, le TAS, qui reproche au recourant de nier l'évidence, assure que le message électronique envoyé le 11 décembre 2011 par Me Rigozzi au conseil de l'intimée, message joint à un fax du 16 décembre 2011 adressé au TAS par l'avocat du recourant, contenait en annexe les deux sentences en question. Sur le vu des pièces produites, il n'est toutefois pas possible de considérer cette dernière affirmation comme prouvée. En effet, le courriel du 11 décembre 2011 ne contient pas de référence expresse aux sentences Larpe et Giunti. Il y est certes fait état de deux pièces jointes, mais sous la forme de deux suites de chiffres qui ne permettent pas de faire le rapprochement avec ces deux sentences (cf. let. B.a, dernier §, ci-dessus). En outre, si le TAS a bien annexé à sa pièce n° 3 une copie de ces dernières, il est frappant de constater que cette pièce (un fax n° 0422 du 16 décembre 2011 émis depuis l'étude de Me Rigozzi) ne comporte que trois pages, lesquelles correspondent au courrier électronique et au fax susnommés. On ne voit pas très bien, d'ailleurs, pour quelle raison l'ancien mandataire du recourant se serait empressé de réclamer une copie de ces sentences, à réception des motifs de la sentence attaquée, s'il en connaissait déjà l'existence. De surcroît, il est frappant de constater que l'intimée elle-même, loin de confirmer la réception de ces deux sentences prétendument annexées au courriel adressé le 11 décembre 2011 à son avocat, ne réfute pas les allégations du recourant selon lesquelles il n'a appris leur existence qu'après la notification de la sentence attaquée (cf., par ex., réponse, n. 17, 19 et 60; réplique, n. 6, 13 et 20). Au contraire, elle admet que ladite sentence contient deux références aux sentences Giunti et Larpe, "dont le recourant n'avait pas connaissance" (réponse, n. 67) et qualifie ces dernières de "sentences inconnues du recourant" (réponse, n. 68).</w:t>
      </w:r>
    </w:p>
    <w:p>
      <w:r>
        <w:t>Toujours est-il qu'à la date de l'audience de jugement dans la présente affaire, le recourant, par le truchement de Me Rigozzi, connaissait, à tout le moins, les sentences Redondo et Duval. Il était, en outre, censé connaître la sentence Pellizotti, puisqu'elle avait été publiée le 14 juin 2011, soit un mois plus tôt, sur le site internet du TAS. Sans doute la connaissait-il effectivement, d'ailleurs, étant donné qu'il y avait fait allusion lors de ladite audience, ainsi que le démontre l'intimée (duplique, n. 9 et les pièces citées). Plus généralement, on imagine mal, selon l'expérience de la vie, que le spécialiste de l'arbitrage sportif et, singulièrement, de la jurisprudence du TAS ainsi que des arcanes de cette institution, qu'est l'ancien conseil du recourant n'ait pas eu une plus ample connaissance de la propension de l'intimée à désigner Me Carrard comme arbitre. On l'imagine d'autant moins à la lecture du passage suivant, cité par l'intimée (réponse, n. 54), de son ouvrage de référence (ANTONIO RIGOZZI, L'arbitrage international en matière de sport, 2005, p. 494, note de pied 2672): "Par exemple que (sic) l'UCI, dont le siège est à Lausanne, nomme presque systématiquement Me Olivier Carrard, arbitre domicilié à Genève ..." (passage en italique mis en évidence par la Cour de céans). Ainsi, dans l'hypothèse qui lui serait la plus favorable, le recourant connaissait au minimum deux sentences - Redondo et Duval - qui avaient abordé la question de la sanction financière prévue à l'art. 326 RAD et qui avaient été rendues par des Formations dans lesquelles l'intimée avait désigné Me Carrard comme arbitre. Il se trouvait donc dans la même situation que celle du recourant qui a été éconduit dans l'arrêt 4A_256/2009, précité. Par conséquent, les règles de la bonne foi, dont l'art. R34 du Code est l'expression, exigeaient de lui, sinon qu'il récusât Me Carrard dans les sept jours après avoir pris connaissance de la seconde de ces deux sentences, à tout le moins, pour remplir son devoir de curiosité (cf. ATF 136 III 605 consid. 3.4.2 p. 618), qu'il demandât formellement à cet arbitre, au cours de l'audience de jugement du 13 juillet 2011, combien de fois il avait été nommé par l'UCI pour intégrer une Formation du TAS, appelée ou non à trancher la susdite question de l'amende à infliger au coureur cycliste suspendu pour deux ans ou plus, et, suivant les réponses qui lui seraient données, qu'il requît sans tarder la récusation de cet arbitre. S'il l'avait fait, en posant alors audit arbitre et/ou à l'intimée les questions formant l'objet des requêtes procédurales qu'il soumet aujourd'hui à la Cour de céans, il aurait appris que l'intimée avait nommé Olivier Carrard en tant qu'arbitre dans trois autres affaires (Larpe, Giunti et Sentjens), voire dans une quatrième (sentence du 29 mars 2012 dans les causes TAS 2010/A/2141, Mikel Astarloza Chaurreau c. RFEC, et TAS 2010/A/2142, UCI c. Mikel Astarloza Chaurreau &amp; RFEC, la désignation de l'arbitre Carrard ayant eu lieu le 10 juin 2010 selon le recourant; cf. réplique, n. 33; sur les particularités de la constitution de la Formation ayant statué dans ces deux causes, cf. toutefois le n. 3 de la duplique du TAS). A supposer que les personnes interrogées se fussent retranchées derrière le caractère confidentiel des informations requises pour refuser de les fournir au recourant à cette occasion, il va sans dire qu'elles ne pourraient plus valablement venir plaider aujourd'hui la thèse de la forclusion relativement au grief fondé sur l' art. 190 al. 2 let. a LDIP . Force est, toutefois, de constater que le recourant n'a, à aucun moment au cours de l'audience du 13 juillet 2011, demandé à Me Carrard d'indiquer s'il avait été nommé dans d'autres procédures du TAS par l'intimée et, dans l'affirmative, d'en préciser le nombre ainsi que les autres parties concernées, voire les questions sur lesquelles elles portaient. L'intéressé s'en défend, affirmant que la question posée par lui lors de cette audience "ne pouvait être plus claire"; à son avis, en demandant à l'arbitre "s'il y a[vait] quelque chose de nouveau à la suite de la sentence Duval", il avait indiqué "sans ambiguïté possible qu'il était intéressé de savoir si d'autres affaires impliquant l'UCI et l'Arbitre Carrard existaient" (réplique, n. 42). On ne saurait lui emboîter le pas. En effet, quoi qu'en dise le recourant, la formulation pour le moins sibylline de la question posée ne permettait nullement à la personne interrogée de donner à cette question la signification qu'il lui prête. Le contexte dans lequel celle-ci a été formulée, tel qu'il ressort de l'extrait du verbatim de l'audience résumé plus haut (cf. let. B.a, 6e §), confirme, si besoin est, que le dialogue qui s'était instauré alors entre Me Rigozzi et l'arbitre Carrard avait un objet beaucoup plus limité, puisqu'il ne visait qu'à déterminer si cet arbitre était capable de faire preuve d'une ouverture d'esprit suffisante pour trancher objectivement la question litigieuse, i.e. celle de la validité de l'art. 326 RAD au regard de l'art. 163 du Code suisse des obligations (CO), en dépit du fait qu'il avait siégé dans la Formation ayant rendu la sentence Duval, laquelle traitait également de la disposition réglementaire précitée. Aussi n'est-il pas étonnant que la question posée à l'arbitre soit demeurée sans réponse, étant donné son manque de clarté manifeste. Mais, dans ce cas, c'est-à-dire si cette question avait eu vraiment le sens que lui attribue le recourant, on peut se demander, avec l'intimée (duplique, n. 18) et le TAS (duplique, n. 6), pourquoi donc l'intéressé, non seulement n'a pas insisté auprès de Me Carrard afin d'obtenir une réponse claire et nette de sa part sur le point en suspens, mais, qui plus est, a déclaré être parfaitement satisfait des explications de cet arbitre et n'avoir aucun problème avec la constitution du panel. En réalité, tout porte à croire que le recourant savait fort bien que l'intimée avait pour habitude de désigner Olivier Carrard comme arbitre, qu'il s'est dès lors inquiété uniquement de savoir si ce dernier était capable de changer d'avis et que les déclarations de son interlocuteur à ce sujet l'ont rassuré. Aussi ne saurait-il justifier le fait de n'avoir pas poussé plus avant ses investigations, à ce moment-là, quant au nombre de fois que Me Carrard avait été désigné comme arbitre par l'intimée, en faisant valoir que l'arbitre en question aurait méconnu son devoir de révéler spontanément pareille circonstance (disclosure; cf. BERGER/KELLERHALS, International and Domestic Arbitration in Switzerland, 2e éd. 2010, nos 897 à 900). Semblable devoir n'existe, d'ailleurs, qu'à l'égard des faits dont l'arbitre a des raisons de penser qu'ils ne sont pas connus de la partie qui pourrait s'en prévaloir ( ATF 111 Ia 72 consid. 2c i.f., p. 76). Or, pour les raisons sus-indiquées, tenant à la personne de l'ancien mandataire du recourant, l'arbitre Carrard pouvait admettre de bonne foi que cette exception trouvait à s'appliquer en l'espèce. Enfin, les démarches entreprises en décembre 2011 par le conseil du recourant (cf. let. B.a, dernier §, ci-dessus), peu de temps avant le prononcé de la sentence litigieuse, afin d'obtenir les mêmes renseignements que ceux qu'il aurait pu et dû réclamer quelques mois plus tôt, étaient manifestement tardives.</w:t>
      </w:r>
    </w:p>
    <w:p>
      <w:r>
        <w:t>Cela étant, le recourant est forclos à remettre en cause la régularité de la composition de la Formation ayant rendu la sentence attaquée par le biais d'un recours en matière civile dirigé contre cette sentence. Il n'y a donc pas lieu d'examiner les mérites de son grief y relatif, ni de donner suite aux requêtes procédurales formulées dans son mémoire (cf. let. C., ci-dessus).</w:t>
      </w:r>
    </w:p>
    <w:p>
      <w:r>
        <w:rPr>
          <w:b/>
        </w:rPr>
        <w:t>E. 3</w:t>
      </w:r>
    </w:p>
    <w:p>
      <w:r>
        <w:t>Dans un second groupe de moyens, le recourant se plaint de la violation de son droit d'être entendu à différents titres.</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rPr>
          <w:b/>
        </w:rPr>
        <w:t>E. 3.1.1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w:t>
      </w:r>
    </w:p>
    <w:p>
      <w:r>
        <w:rPr>
          <w:b/>
        </w:rPr>
        <w:t>E. 3.1.2</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 in fine et les précédents cités).</w:t>
      </w:r>
    </w:p>
    <w:p>
      <w:r>
        <w:rPr>
          <w:b/>
        </w:rPr>
        <w:t>E. 3.2.1</w:t>
      </w:r>
    </w:p>
    <w:p>
      <w:r>
        <w:t>Se fondant sur les principes jurisprudentiels rappelés ci-dessus (consid. 3.1.1), le recourant reproche à la Formation, dans un premier moyen, d'avoir fait usage, à son insu, des sentences Larpe et Giunti, rendues sur le même sujet, à savoir l'interprétation et l'application de l'art. 326 RAD, sentences qui concernaient deux causes dans lesquelles l'intimée était partie et avait désigné Olivier Carrard comme arbitre. A son avis, la Formation aurait dû lui donner l'occasion de s'exprimer sur ces sources juridiques accessibles uniquement aux arbitres et à son adverse partie, afin de garantir l'égalité des armes entre les plaideurs. En ne le faisant point, elle avait, dès lors, violé son droit d'être entendu. Partant, la nature formelle de ce droit commanderait d'annuler la sentence attaquée, que les deux précédents en question fussent ou non pertinents pour la solution du litige.</w:t>
      </w:r>
    </w:p>
    <w:p>
      <w:r>
        <w:rPr>
          <w:b/>
        </w:rPr>
        <w:t>E. 3.2.2</w:t>
      </w:r>
    </w:p>
    <w:p>
      <w:r>
        <w:t>Semblable argumentation ne résiste pas à l'examen. Sans doute, le droit d'être entendu revêt-il un caractère formel, comme on l'a relevé plus haut (consid. 3.1.2, 2e §). Encore faut-il qu'il ait été violé pour que la sentence entreprise doive être annulée de ce seul fait. Or, cette condition n'est pas remplie en l'occurrence.</w:t>
      </w:r>
    </w:p>
    <w:p>
      <w:r>
        <w:t>Il faut d'abord souligner que l'intimée ne s'est jamais prévalue, dans la présente procédure arbitrale, des sentences Larpe et Giunti. Elle n'a donc pas profité de sa connaissance de ces deux précédents pour en tirer avantage au détriment de son adversaire, si bien qu'elle ne saurait se voir imputer la responsabilité d'une éventuelle violation du droit d'être entendu du recourant à cet égard. L'intimée n'a pas non plus versé ces deux sentences arbitrales au dossier de la présente cause arbitrale; le recourant ne peut donc pas davantage se plaindre que des éléments de preuve produits par sa partie adverse ne lui aient pas été soumis.</w:t>
      </w:r>
    </w:p>
    <w:p>
      <w:r>
        <w:t>Ensuite, il n'est pas sûr que les sentences du TAS puissent être qualifiées de principes juridiques au sens de la jurisprudence fédérale précitée. En effet, à l'inverse du Tribunal fédéral qui, en sa qualité d'autorité judiciaire suprême de la Confédération, prononce des arrêts ayant valeur de précédents pour les juridictions inférieures, les arbitres, dont le pouvoir résulte essentiellement de la volonté des parties, ne rendent pas des sentences dont les solutions s'imposeraient nécessairement à un autre tribunal arbitral appelé à trancher la même question, de sorte qu'il paraît difficile, en théorie du moins, de considérer la jurisprudence arbitrale comme étant une source du droit de l'arbitrage (RIGOZZI, op. cit., n° 432, lequel auteur relève toutefois que "la pratique juridique est tout autre" [op. cit., nos 433 à 435]).</w:t>
      </w:r>
    </w:p>
    <w:p>
      <w:r>
        <w:t>Enfin et surtout, l'intimée démontre, de manière convaincante, que la Formation ne s'est pas fondée sur les sentences Larpe et Giunti pour rendre sa décision sur le point controversé (réponse, n. 68 à 79). En bref, elle souligne, à juste titre, que les arbitres ne se sont référés à ces sentences, une première fois, que pour rappeler la définition du revenu annuel net visé par l'art. 326 al. 1 let. a RAD (sentence attaquée, n. 145, note de pied 22), et une seconde fois que pour constater que ces sentences n'abordent pas la question de la proportionnalité de l'amende (sentence attaquée, n. 200, note de pied 47); qu'ils ont également cité, conjointement avec ces deux précédents, les sentences Redondo, Duval et Pellizotti, connues du recourant; qu'au demeurant, les sentences Larpe et Giunti ne traitent pas de la validité de l'art. 326 RAD au regard de l' art. 163 CO .</w:t>
      </w:r>
    </w:p>
    <w:p>
      <w:r>
        <w:t>Formulé dans un tel contexte, le reproche, fait à la Formation, d'avoir fondé sa décision sur des considérations juridiques étrangères aux questions soulevées au cours de la procédure arbitrale et dont le recourant ne pouvait pas deviner l'importance tombe manifestement à faux.</w:t>
      </w:r>
    </w:p>
    <w:p>
      <w:r>
        <w:rPr>
          <w:b/>
        </w:rPr>
        <w:t>E. 3.3</w:t>
      </w:r>
    </w:p>
    <w:p>
      <w:r>
        <w:t>En second lieu, le recourant, fort des principes jurisprudentiels touchant cet aspect du droit d'être entendu (cf. consid. 3.1.2 ci-dessus), fait grief à la Formation d'avoir méconnu, sur trois points, son devoir minimum d'examiner et de traiter les problèmes pertinents.</w:t>
      </w:r>
    </w:p>
    <w:p>
      <w:r>
        <w:rPr>
          <w:b/>
        </w:rPr>
        <w:t>E. 3.3.1</w:t>
      </w:r>
    </w:p>
    <w:p>
      <w:r>
        <w:t>Les arbitres se voient tout d'abord reprocher d'avoir ignoré un pan entier de l'argumentation du recourant concernant la recevabilité de ses conclusions reconventionnelles (recours, n. 143 à 149; sur l'objet de ces conclusions, cf. let. B.a, 5e §, ci-dessus). Ils ne se seraient pas prononcés sur son objection, développée à l'audience de jugement, selon laquelle l'interprétation de l'art. R55 du Code, préconisée par l'intimée, conduirait à une inégalité de traitement et à une violation de l'ordre public procédural. En effet, l'UCI disposerait d'un délai d'appel plus long que celui dans lequel le coureur cycliste doit déposer son appel, puisqu'elle pourrait le prolonger artificiellement en réclamant à l'instance d'audition de la fédération nationale le dossier intégral de la cause. Cela lui permettrait de décider d'interjeter ou non appel en sachant si le coureur cycliste a déjà formé appel contre la décision de première instance, tandis que ce dernier, s'il était privé de la possibilité de formuler des conclusions reconventionnelles, serait contraint de déposer une déclaration d'appel à titre préventif et de payer le droit de greffe de 1'000 fr. La Formation n'aurait pas non plus réfuté l'argument voulant que l'interprétation nouvelle de l'art. R55 du Code, apparaissant pour la première fois dans la sentence Duval, non publiée, ne pouvait pas être opposée au recourant.</w:t>
      </w:r>
    </w:p>
    <w:p>
      <w:r>
        <w:t>Le moyen n'est pas fondé. La Formation résume la position du recourant au sujet de la recevabilité de la demande reconventionnelle, en mentionnant expressis verbis l'argument d'après lequel l'irrecevabilité d'un appel joint créerait une inégalité entre les parties (sentence, n. 99). Elle indique, en outre, les arguments du recourant dont elle ne tiendra pas compte (sentence, n. 100), ce qui implique, a contrario, qu'elle prendra en considérations les autres arguments, résumés au paragraphe précédent de sa sentence. Enfin, elle consacre plus de trois pages à la question de la "Recevabilité de la demande reconventionnelle de M. X.________" (sentence, n. 119 à 131). Il est vrai que les arbitres ne semblent pas avoir réfuté, même implicitement, l'argument tiré de l'inégalité de traitement. Cependant, ils n'étaient pas tenus de le faire, selon la jurisprudence précitée, car semblable argument était dénué de toute pertinence. En effet, non seulement le recourant n'a pas été privé de la possibilité d'attaquer la décision de la commission disciplinaire belge, à l'instar de l'intimée, mais encore le Tribunal fédéral a déjà eu l'occasion de réfuter le même argument dans une récente décision à laquelle il peut être renvoyé ici (arrêt 4A_488/2011 du 18 juin 2012 dans la cause Pellizotti, consid. 4.4 et 4.5). Quant au second argument, la Formation l'a implicitement écarté puisqu'elle s'est estimée en droit - à tort ou à raison - d'étayer son raisonnement par des références à la sentence Duval. Elle a du reste justifié l'irrecevabilité de la demande reconventionnelle du coureur cycliste par deux circonstances objectives, sans lien avec ladite sentence, à savoir, d'une part, l'abrogation, dans la version 2010 du Code entrée en vigueur le 1er janvier 2010, de l'art. R55 du Code (version 2004), qui prévoyait la possibilité de former une demande reconventionnelle dans la réponse à l'appel et, d'autre part, l'abrogation, deux mois avant le dépôt de la réponse du recourant, de l'art. 335 RAD dont certaines Formations, mais pas celle qui a rendu la sentence attaquée, considéraient qu'il octroyait à la partie intimée à l'appel le droit de former une demande reconventionnelle.</w:t>
      </w:r>
    </w:p>
    <w:p>
      <w:r>
        <w:t>Quoi qu'il en soit et indépendamment de la nature formelle du droit d'être entendu, le recourant ne pourrait plus faire valoir d'intérêt à l'admission du grief considéré. En effet, en cherchant à obtenir, par l'une de ses demandes reconventionnelles, que sa suspension fût levée le 26 juillet 2012, le coureur cycliste entendait pouvoir participer aux Jeux olympiques de Londres (27 juillet - 12 août 2012). Or, il est notoire que cette compétition est aujourd'hui terminée. Partant, on ne discerne pas l'intérêt que le recourant pourrait conserver à obtenir l'annulation de la sentence au seul motif que cette demande reconventionnelle a été déclarée irrecevable (cf., mutatis mutandis, l'arrêt 4A_134/2012 du 16 juillet 2012 consid. 2). Quant à son autre demande reconventionnelle, elle est également sans objet, étant donné que, si la Formation a pris en compte ses arguments relatifs à l'amende "en tant que moyens de défense en réponse à l'appel" (sentence, n. 131), elle a considéré qu'il convenait, non pas de réduire le montant de la sanction financière infligée au coureur cycliste en première instance (7'500 euros), mais, bien plutôt, de le porter à 20'800 euros.</w:t>
      </w:r>
    </w:p>
    <w:p>
      <w:r>
        <w:rPr>
          <w:b/>
        </w:rPr>
        <w:t>E. 3.3.2</w:t>
      </w:r>
    </w:p>
    <w:p>
      <w:r>
        <w:t>A en croire le recourant, la Formation aurait encore omis de tenir compte de ses arguments touchant la spécificité de la discipline du vélo tout-terrain lorsqu'il s'est agi pour elle de fixer le montant de la sanction financière qu'elle lui a infligée. Elle aurait, en particulier, négligé de prendre en considération ses explications détaillées visant à démontrer les différences importantes existant entre un coureur cycliste professionnel sur route et un professionnel du VTT.</w:t>
      </w:r>
    </w:p>
    <w:p>
      <w:r>
        <w:t>Il n'en est rien. Sans doute, ici aussi, les arbitres n'ont-ils pas réfuté expressément les arguments du recourant. Toutefois, en faisant fond sur l'art. 326 RAD, ils ont écarté clairement, quoique de manière implicite, l'idée que cette disposition ne s'appliquât point à un coureur cycliste professionnel pratiquant le VTT. Rien, du reste, dans le texte de la règle en question, ne les autorisait à en juger autrement et à faire des distinctions entre les différentes disciplines du cyclisme pour calculer la sanction financière, alors que, en vertu de ladite règle, le montant de l'amende doit être fixé en proportion du revenu annuel du cycliste. Au demeurant, on ne voit pas pourquoi un coureur cycliste ayant fait du VTT sa profession devrait être sanctionné moins durement qu'un routier professionnel en cas d'infraction aux règles antidopage.</w:t>
      </w:r>
    </w:p>
    <w:p>
      <w:r>
        <w:rPr>
          <w:b/>
        </w:rPr>
        <w:t>E. 3.3.3</w:t>
      </w:r>
    </w:p>
    <w:p>
      <w:r>
        <w:t>En dernier lieu, le recourant reproche à la Formation de ne pas avoir pris en considération son argument relatif à la nullité de l'art. 326 RAD au regard de l' art. 163 CO , motif pris du fait que le mode de fixation de la sanction financière à infliger au coureur cycliste convaincu de dopage ne serait pas déterminable.</w:t>
      </w:r>
    </w:p>
    <w:p>
      <w:r>
        <w:t>Une peine conventionnelle est valable si son montant est déterminé ou, à tout le moins, déterminable; elle ne l'est pas, en revanche, si son montant peut être fixé unilatéralement par le créancier ( ATF 119 II 162 consid. 2 p. 165; GASPARD COUCHEPIN, La clause pénale, 2008, n° 462).</w:t>
      </w:r>
    </w:p>
    <w:p>
      <w:r>
        <w:t>La Formation rappelle que le montant de l'amende prévue par l'art. 326 al. 1 let. a RAD, tel qu'il a été interprété par d'autres Formations du TAS, doit être calculé sur la base du revenu annuel net auquel le coureur cycliste avait normalement droit pour l'ensemble de l'année (sentence, n. 145). Elle indique ensuite les différents critères qu'elle prend en considération pour le déterminer, tout en respectant le principe de la proportionnalité. Ce faisant, les arbitres ont admis, fût-ce de manière implicite, que la peine conventionnelle découlant de cette disposition réglementaire revêtait un caractère suffisamment déterminable, contrairement à ce que soutenait le recourant. On voit mal, en effet, comment ils auraient pu effectuer un calcul précis de l'amende à infliger à ce dernier sans considérer que cette disposition était conforme au droit suisse, répondant ainsi indirectement à l'argument du recourant.</w:t>
      </w:r>
    </w:p>
    <w:p>
      <w:r>
        <w:t>En tout état de cause, pareil argument est dépourvu de fondement, dans la mesure où il paraît indéniable que la sanction financière prévue par l'art. 326 al. 1 let. a RAD est à tout le moins déterminable. Aussi les arbitres ne pourraient-ils pas se voir reprocher de ne pas l'avoir réfuté, même implicitement.</w:t>
      </w:r>
    </w:p>
    <w:p>
      <w:r>
        <w:rPr>
          <w:b/>
        </w:rPr>
        <w:t>E. 4</w:t>
      </w:r>
    </w:p>
    <w:p>
      <w:r>
        <w:t>Le présent recours doit ainsi être rejeté. Succombant, son auteur paiera les frais judiciaires ( art. 66 al. 1 LTF ); il versera, en outre, des dépens à son adverse partie ( art. 68 al. 1 et 2 LTF ). Quant à Z.________, n'ayant pas déposé de réponse, elle n'a pas droit à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