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109/2020 vom 30. März 2020</w:t>
      </w:r>
    </w:p>
    <w:p>
      <w:r>
        <w:t>Bundesgericht, 2020-03-30, FR</w:t>
      </w:r>
    </w:p>
    <w:p>
      <w:r>
        <w:rPr>
          <w:b/>
        </w:rPr>
        <w:t xml:space="preserve">Quelle: </w:t>
      </w:r>
      <w:r>
        <w:t>https://mcp.opencaselaw.ch/entscheid/bger_4A_109_2020</w:t>
      </w:r>
    </w:p>
    <w:p>
      <w:r>
        <w:t>FR: TF 4A 109/2020 du 30 mars 2020</w:t>
      </w:r>
    </w:p>
    <w:p>
      <w:r>
        <w:t>IT: TF 4A 109/2020 del 30 marzo 2020</w:t>
      </w:r>
    </w:p>
    <w:p>
      <w:pPr>
        <w:pStyle w:val="Heading2"/>
      </w:pPr>
      <w:r>
        <w:t>Regeste</w:t>
      </w:r>
    </w:p>
    <w:p>
      <w:r>
        <w:t>modération des honoraires d'avocat | Droit des contrats</w:t>
      </w:r>
    </w:p>
    <w:p>
      <w:pPr>
        <w:pStyle w:val="Heading2"/>
      </w:pPr>
      <w:r>
        <w:t>Erwägungen</w:t>
      </w:r>
    </w:p>
    <w:p>
      <w:r>
        <w:rPr>
          <w:b/>
        </w:rPr>
        <w:t>E. 1</w:t>
      </w:r>
    </w:p>
    <w:p>
      <w:r>
        <w:t>Médecin spécialiste en chirurgie, A.________ a notamment pratiqué dans le canton de Neuchâtel. Par suite de dysfonctionnements survenus lors d'une intervention chirurgicale, le médecin cantonal neuchâtelois a ouvert une enquête administrative à son encontre. Cette procédure a abouti le 17 décembre 2018 au retrait de l'autorisation de pratiquer. A.________ a recouru sans succès au Tribunal cantonal neuchâtelois. A.________ s'est fait conseiller par B.________, avocat à Lausanne, semble-t-il de novembre 2018 à février 2019. B.________ a réclamé des honoraires au montant de 56'542 francs.</w:t>
      </w:r>
    </w:p>
    <w:p>
      <w:r>
        <w:rPr>
          <w:b/>
        </w:rPr>
        <w:t>E. 2</w:t>
      </w:r>
    </w:p>
    <w:p>
      <w:r>
        <w:t>A.________ a adressé une demande de modération des honoraires à la Présidente de la Chambre des avocats du Tribunal cantonal du canton de Vaud. La Présidente s'est déclarée incompétente par prononcé du 11 décembre 2019, au motif que les honoraires en cause portaient sur une activité judiciaire auprès de tribunaux étrangers au canton de Vaud. La Chambre des recours civile du Tribunal cantonal vaudois a statué le 21 janvier 2020 sur le recours de A.________; elle l'a déclaré irrecevable parce que dépourvu d'une motivation satisfaisant aux exigences du droit de procédure applicable.</w:t>
      </w:r>
    </w:p>
    <w:p>
      <w:r>
        <w:rPr>
          <w:b/>
        </w:rPr>
        <w:t>E. 3</w:t>
      </w:r>
    </w:p>
    <w:p>
      <w:r>
        <w:t>Par mémoire daté du 24 février 2020, A.________ recourt auprès du Tribunal fédéral. Il requiert que le montant des honoraires soit réduit à 20'000 fr. et que B.________ soit condamné à lui restituer 36'542 francs.</w:t>
      </w:r>
    </w:p>
    <w:p>
      <w:r>
        <w:rPr>
          <w:b/>
        </w:rPr>
        <w:t>E. 4</w:t>
      </w:r>
    </w:p>
    <w:p>
      <w:r>
        <w:t>A teneur de l' art. 42 al. 1 et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En effet, le recourant ne tente pas de démontrer une application éventuellement arbitraire du droit cantonal de procédure sur lequel la Chambre des recours fonde son arrêt d'irrecevabilité. Il se borne à exposer certaines étapes de sa carrière, à décrire l'événement qui a, à ses dires, provoqué l'enquête administrative à Neuchâtel, et, plus longuement, à présenter ses griefs à l'encontre de B.________. Il s'ensuit que le recours formé devant le Tribunal fédéral est irrecevable faute d'une motivation suffisante.</w:t>
      </w:r>
    </w:p>
    <w:p>
      <w:r>
        <w:rPr>
          <w:b/>
        </w:rPr>
        <w:t>E. 5</w:t>
      </w:r>
    </w:p>
    <w:p>
      <w:r>
        <w:t>A titre de partie qui succombe, le recourant doit acquitter l'émolument à percevoir par le Tribunal fédéral.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