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109/2007 vom 30. Juli 2007</w:t>
      </w:r>
    </w:p>
    <w:p>
      <w:r>
        <w:t>Bundesgericht, 2007-07-30, DE</w:t>
      </w:r>
    </w:p>
    <w:p>
      <w:r>
        <w:rPr>
          <w:b/>
        </w:rPr>
        <w:t xml:space="preserve">Quelle: </w:t>
      </w:r>
      <w:r>
        <w:t>https://mcp.opencaselaw.ch/entscheid/bger_4A_109_2007</w:t>
      </w:r>
    </w:p>
    <w:p>
      <w:r>
        <w:t>FR: TF 4A 109/2007 du 30 juillet 2007</w:t>
      </w:r>
    </w:p>
    <w:p>
      <w:r>
        <w:t>IT: TF 4A 109/2007 del 30 luglio 2007</w:t>
      </w:r>
    </w:p>
    <w:p>
      <w:pPr>
        <w:pStyle w:val="Heading2"/>
      </w:pPr>
      <w:r>
        <w:t>Regeste</w:t>
      </w:r>
    </w:p>
    <w:p>
      <w:r>
        <w:t>Mängel an der Mietsache; Schadenersatz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19. Februar 2007 ergangen ist, richtet sich das Verfahren nach dem BGG ( Art. 132 Abs. 1 BGG ).</w:t>
      </w:r>
    </w:p>
    <w:p>
      <w:r>
        <w:rPr>
          <w:b/>
        </w:rPr>
        <w:t>E. 2</w:t>
      </w:r>
    </w:p>
    <w:p>
      <w:r>
        <w:t>Das Bundesgericht prüft von Amtes wegen und mit freier Kognition, ob ein Rechtsmittel zulässig ist ( BGE 132 III 291 E. 1 S. 292).</w:t>
      </w:r>
    </w:p>
    <w:p>
      <w:r>
        <w:rPr>
          <w:b/>
        </w:rPr>
        <w:t>E. 2.1</w:t>
      </w:r>
    </w:p>
    <w:p>
      <w:r>
        <w:t>Die Beschwerde (in Zivilsachen) ist zulässig gegen Endentscheide, mithin solche, die das Verfahren abschliessen ( Art. 90 BGG ). Der vorliegend angefochtene Entscheid schliesst das Verfahren nicht ab. Es handelt sich demnach nicht um einen Endentscheid.</w:t>
      </w:r>
    </w:p>
    <w:p>
      <w:r>
        <w:rPr>
          <w:b/>
        </w:rPr>
        <w:t>E. 2.2</w:t>
      </w:r>
    </w:p>
    <w:p>
      <w:r>
        <w:t>Die Beschwerde (in Zivilsachen) ist ferner zulässig gegen Teilentscheide. Als solcher gilt ein Entscheid, der nur einen Teil der gestellten Begehren behandelt, wenn diese Begehren unabhängig von den anderen beurteilt werden können, oder der das Verfahren nur für einen Teil der Streitgenossen abschliesst ( Art. 91 BGG ; vgl. dazu BBl 2001 4332 f.). Vorliegend trifft keine der beiden Fallkategorien zu. Entgegen der Meinung der Beschwerdeführerin handelt es sich beim angefochtenen Entscheid nicht um einen Teilentscheid, erledigt er doch weder einzelne der gestellten Begehren noch schliesst er das Verfahren für einen Teil der Streitgenossen ab.</w:t>
      </w:r>
    </w:p>
    <w:p>
      <w:r>
        <w:rPr>
          <w:b/>
        </w:rPr>
        <w:t>E. 2.3</w:t>
      </w:r>
    </w:p>
    <w:p>
      <w:r>
        <w:t>Der angefochtene Entscheid behandelt eine materielle Vorfrage, nämlich diejenige, ob die Voraussetzungen einer Haftung der Beschwerdeführerin für den geltend gemachten Schaden grundsätzlich gegeben sind. Mit der Bejahung dieser Vorfrage ist der Streit zwischen den Parteien nicht beendet. Vielmehr hat das Verfahren betreffend das Quantitativ seinen Fortgang vor der ersten Instanz zu nehmen. Der angefochtene Entscheid erweist sich damit als Zwischenentscheid (vgl. BGE 132 III 785 E. 2 S. 789 f.; BBl 2001 4332 f.).</w:t>
      </w:r>
    </w:p>
    <w:p>
      <w:r>
        <w:rPr>
          <w:b/>
        </w:rPr>
        <w:t>E. 2.4</w:t>
      </w:r>
    </w:p>
    <w:p>
      <w:r>
        <w:t>Da es sich nicht um einen Zwischenentscheid über die Zuständigkeit oder über Ausstandsbegehren handelt, ist die Beschwerde nur zulässig, wenn eine der folgenden Voraussetzungen erfüllt ist: Erstens, wenn der Entscheid einen nicht wieder gutzumachenden Nachteil bewirken kann ( Art. 93 Abs. 1 lit. a BGG ). Diese Voraussetzung ist vorliegend offensichtlich nicht gegeben und wird von der Beschwerdeführerin auch nicht geltend gemacht. Zweitens, wenn die Gutheissung der Beschwerde sofort einen Endentscheid herbeiführen und damit einen bedeutenden Aufwand an Zeit und Kosten für ein weitläufiges Beweisverfahren ersparen würde ( Art. 93 Abs. 1 lit. b BGG ). Diese Voraussetzung übernimmt die Vorschrift von Art. 50 OG (BBl 2001 4334). Die diesbezügliche Rechtsprechung behält demnach Geltung. Nach dieser Rechtsprechung bildet die selbständige Anfechtbarkeit von Zwischenentscheiden aus prozessökonomischen Gründen eine Ausnahmebestimmung, die restriktiv auszulegen ist ( BGE 118 II 91 E. 1b S. 92). Dies umso mehr, als die Parteien keiner Rechte verlustig gehen, wenn sie einen Zwischenentscheid nicht selbständig anfechten, können sie ihn doch mit dem Endentscheid anfechten, soweit er sich auf dessen Inhalt auswirkt ( Art. 93 Abs. 3 BGG ). 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Wenn er aber geltend macht, die Voraussetzung des Art. 93 Abs. 1 lit. b BGG sei erfüllt, ist zu differenzieren: Geht es bereits aus dem angefochtenen Urteil oder der Natur der Sache hervor, dass ein bedeutender Aufwand an Zeit und Kosten für ein weitläufiges Beweisverfahren erforderlich sein wird, darf auf lange Ausführungen verzichtet werden. Andernfalls hat der Beschwerdeführer im Einzelnen darzutun, welche Tatfragen offen sind und welche weitläufigen Beweiserhebungen in welchem zeitmässigen und kostenmässigen Umfang erforderlich sind. Zudem hat er unter Aktenhinweis darzulegen, dass er die betreffenden Beweise im kantonalen Verfahren bereits angerufen oder entsprechende Anträge in Aussicht gestellt hat ( BGE 118 II 91 E. 1a S. 92).</w:t>
      </w:r>
    </w:p>
    <w:p>
      <w:r>
        <w:rPr>
          <w:b/>
        </w:rPr>
        <w:t>E. 2.5</w:t>
      </w:r>
    </w:p>
    <w:p>
      <w:r>
        <w:t>Die Beschwerdeführerin spricht sich zwar zu den übrigen Eintretensvoraussetzungen aus, verliert aber kein Wort, um zu begründen, inwiefern eine Ausnahme gemäss Art. 93 Abs. 1 lit. a oder b BGG vorliegen soll. Auf die Beschwerde ist deshalb nicht einzutreten (vgl. Urteil 4A.35/2007 vom 2. Mai 2007 E. 2; Urteil 4A.92/2007 vom 8. Juni 2007 E. 2 und 3).</w:t>
      </w:r>
    </w:p>
    <w:p>
      <w:r>
        <w:rPr>
          <w:b/>
        </w:rPr>
        <w:t>E. 3</w:t>
      </w:r>
    </w:p>
    <w:p>
      <w:r>
        <w:t>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