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4A_106/2022 vom 5. Mai 2022</w:t>
      </w:r>
    </w:p>
    <w:p>
      <w:r>
        <w:t>Bundesgericht, 2022-05-05, FR</w:t>
      </w:r>
    </w:p>
    <w:p>
      <w:r>
        <w:rPr>
          <w:b/>
        </w:rPr>
        <w:t xml:space="preserve">Quelle: </w:t>
      </w:r>
      <w:r>
        <w:t>https://mcp.opencaselaw.ch/entscheid/bger_4A_106_2022</w:t>
      </w:r>
    </w:p>
    <w:p>
      <w:r>
        <w:t>FR: TF 4A_106/2022 du 5 mai 2022</w:t>
      </w:r>
    </w:p>
    <w:p>
      <w:r>
        <w:t>IT: TF 4A_106/2022 del 5 maggio 2022</w:t>
      </w:r>
    </w:p>
    <w:p>
      <w:pPr>
        <w:pStyle w:val="Heading2"/>
      </w:pPr>
      <w:r>
        <w:t>Erwägungen</w:t>
      </w:r>
    </w:p>
    <w:p>
      <w:r>
        <w:rPr>
          <w:b/>
        </w:rPr>
        <w:t>E. 1</w:t>
      </w:r>
    </w:p>
    <w:p>
      <w:r>
        <w:t>D'après l' art. 54 al. 1 LTF , le Tribunal fédéral rédige son arrêt dans une langue officielle, en règle générale dans la langue de la décision attaquée. Devant le TAS, les parties se sont servies de l'anglais et dans le mémoire qu'il a adressé au Tribunal fédéral, le recourant a employé le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L'une des parties au moins n'avait pas son domicile en Suisse au moment déterminant. Les dispositions du chapitre 12 de la LDIP sont donc applicables ( art. 176 al. 1 LDIP ).</w:t>
      </w:r>
    </w:p>
    <w:p>
      <w:r>
        <w:rPr>
          <w:b/>
        </w:rPr>
        <w:t>E. 3.1</w:t>
      </w:r>
    </w:p>
    <w:p>
      <w:r>
        <w:t>Il convient d'examiner si le recours a été introduit en temps utile.</w:t>
      </w:r>
    </w:p>
    <w:p>
      <w:r>
        <w:rPr>
          <w:b/>
        </w:rPr>
        <w:t>E. 3.1.1</w:t>
      </w:r>
    </w:p>
    <w:p>
      <w:r>
        <w:t>Conformément à l' art. 100 al. 1 LTF , le recours doit être déposé devant le Tribunal fédéral dans les trente jours qui suivent la notification de l'expédition complète.</w:t>
      </w:r>
    </w:p>
    <w:p>
      <w:r>
        <w:t>Aux termes de l' art. 48 al. 1 LTF , les actes doivent être remis au plus tard le dernier jour du délai soit au Tribunal fédéral soit, à l'attention de ce dernier, à La Poste Suisse ou à une représentation diplomatique ou consulaire suisse. Le délai est sauvegardé si l'acte est remis le dernier jour du délai à minuit ( ATF 142 V 389 consid. 2.2 et les références citées).</w:t>
      </w:r>
    </w:p>
    <w:p>
      <w:r>
        <w:rPr>
          <w:b/>
        </w:rPr>
        <w:t>E. 3.1.2</w:t>
      </w:r>
    </w:p>
    <w:p>
      <w:r>
        <w:t>Un recours est présumé avoir été déposé à la date ressortant du sceau postal ( ATF 142 V 389 consid. 2.2).</w:t>
      </w:r>
    </w:p>
    <w:p>
      <w:r>
        <w:t>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4A_216/2021 du 2 novembre 2021 consid. 2.2 et la référence citée).</w:t>
      </w:r>
    </w:p>
    <w:p>
      <w:r>
        <w:rPr>
          <w:b/>
        </w:rPr>
        <w:t>E. 3.1.3</w:t>
      </w:r>
    </w:p>
    <w:p>
      <w:r>
        <w:t>En l'espèce, la sentence entreprise a été notifiée au recourant le 31 janvier 2022. Le délai de recours a expiré le 2 mars 2022 à minuit. Le sceau postal figurant sur l'enveloppe contenant le recours porte la date du 3 mars 2022. Le recours, expédié en courrier A et non sous pli recommandé comme indiqué à tort dans le mémoire de l'intéressé, est ainsi présumé avoir été déposé tardivement. Cette présomption est toutefois réfragable. En l'occurrence, il appert qu'un témoin - dont l'identité a pu être vérifiée par le Tribunal fédéral - a attesté, au dos de l'enveloppe contenant le recours, que le pli avait été déposé le 2 mars 2022 avant minuit. Dans ces circonstances, il y a lieu d'admettre que l'acte de recours a été déposé en temps utile.</w:t>
      </w:r>
    </w:p>
    <w:p>
      <w:r>
        <w:rPr>
          <w:b/>
        </w:rPr>
        <w:t>E. 3.2</w:t>
      </w:r>
    </w:p>
    <w:p>
      <w:r>
        <w:t>Pour le reste, qu'il s'agisse de l'objet du recours, de la qualité pour recourir ou encore des conclusions prises par le recourant, aucune de ces conditions de recevabilité ne fait problème en l'espèce. Rien ne s'oppose donc à l'entrée en matière. Demeure réservé l'examen de la recevabilité du grief invoqué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4.3</w:t>
      </w:r>
    </w:p>
    <w:p>
      <w:r>
        <w:t>Dans son mémoire de recours, l'intéressé indique qu'il s'était plaint, dans son mémoire d'appel soumis au TAS, de " nombreuses violations de certains règlements applicables et d'analyse des échantillons ". A cet égard, il expose avoir en particulier dénoncé la violation d'une règle de l'Annexe K du Standard international pour les contrôles et les enquêtes (ci-après: ISTI selon son acronyme anglais International Standard for Testing and Investigations) imposant aux agents de contrôle du dopage certaines obligations quant aux informations à consigner par écrit en cas de prélèvement effectué dans le cadre du programme du passeport biologique. Il fait grief à la Formation de n'avoir pas examiné son argument selon lequel la procédure n'avait pas été respectée en ce qui concerne le prélèvement des échantillons 3 et 11, raison pour laquelle ceux-ci auraient dû être exclus de son passeport biologique.</w:t>
      </w:r>
    </w:p>
    <w:p>
      <w:r>
        <w:rPr>
          <w:b/>
        </w:rPr>
        <w:t>E. 4.4</w:t>
      </w:r>
    </w:p>
    <w:p>
      <w:r>
        <w:t>Force est d'emblée de relever que la motivation du grief laisse fortement à désirer, de sorte que l'on peut sérieusement douter de sa recevabilité. L'argumentation développée par le recourant, qui tient en quelques lignes, ne permet en effet nullement de discerner en quoi l'issue du litige eût pu être différente si la Formation avait pris en considération le moyen qu'elle aurait prétendument omis d'examiner. L'intéressé soutient certes que les échantillons 3 et 11 auraient dû être exclus. Cela étant, il n'ébauche pas la moindre démonstration visant à étayer son affirmation péremptoire. Au demeurant, la Cour de céans ne voit pas, faute de motivation suffisante de la part du recourant à cet égard, en quoi les prétendus vices procéduraux relatifs aux seuls échantillons 3 et 11 auraient pu avoir une quelconque incidence sur le résultat auquel a abouti la Formation, dès lors que le passeport biologique du recourant, abstraction faite des deux échantillons précités, comprenait encore vingt autres échantillons sanguins. En tout état de cause, après avoir examiné attentivement la sentence attaquée dans laquelle les arbitres se sont prononcés sur de nombreuses violations des règles de l'ISTI dénoncées par l'intéressé, le Tribunal fédéral estime que le grief considéré est infondé. Il renoncera à motiver plus avant cette conclusion tant il lui semble évident que le recourant, sous le couvert d'une violation de son droit d'être entendu, cherche, en réalité, à obtenir indirectement un examen par la Cour de céans du fond de la sentence attaquée. Il s'ensuit le rejet, dans la mesure de sa recevabilité, du grief tiré de la violation du droit d'être entendu.</w:t>
      </w:r>
    </w:p>
    <w:p>
      <w:r>
        <w:rPr>
          <w:b/>
        </w:rPr>
        <w:t>E. 5</w:t>
      </w:r>
    </w:p>
    <w:p>
      <w:r>
        <w:t>Au vu de ce qui précède, le recours, manifestement mal fondé aux termes de l' art. 109 al. 2 let. a LTF , doit être rejeté dans la mesure de sa recevabilité. Le recourant, qui succombe, devra payer les frais de la procédure fédérale ( art. 66 al. 1 LTF ). Il n'aura en revanche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