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4A_105/2014 vom 21. Mai 2014</w:t>
      </w:r>
    </w:p>
    <w:p>
      <w:r>
        <w:t>Bundesgericht, 2014-05-21, DE</w:t>
      </w:r>
    </w:p>
    <w:p>
      <w:r>
        <w:rPr>
          <w:b/>
        </w:rPr>
        <w:t xml:space="preserve">Quelle: </w:t>
      </w:r>
      <w:r>
        <w:t>https://mcp.opencaselaw.ch/entscheid/bger_4A_105_2014</w:t>
      </w:r>
    </w:p>
    <w:p>
      <w:r>
        <w:t>FR: TF 4A_105/2014 du 21 mai 2014</w:t>
      </w:r>
    </w:p>
    <w:p>
      <w:r>
        <w:t>IT: TF 4A_105/2014 del 21 maggio 2014</w:t>
      </w:r>
    </w:p>
    <w:p>
      <w:pPr>
        <w:pStyle w:val="Heading2"/>
      </w:pPr>
      <w:r>
        <w:t>Erwägungen</w:t>
      </w:r>
    </w:p>
    <w:p>
      <w:r>
        <w:rPr>
          <w:b/>
        </w:rPr>
        <w:t>E. 1</w:t>
      </w:r>
    </w:p>
    <w:p>
      <w:r>
        <w:t>Die Beschwerde richtet sich gegen die Verweigerung der unentgeltlichen Rechtspflege durch ein oberes kantonales Gericht ( Art. 75 BGG ) und damit gegen einen Zwischenentscheid, der einen nicht wieder gutzumachenden Nachteil zur Folge haben kann ( Art. 93 Abs. 1 lit. a BGG ). Sie ist in einer Zivilstreitigkeit ( Art. 72 BGG ) mit einem Streitwert von über Fr. 30'000.-- ( Art. 74 Abs. 1 lit. b BGG ) fristgerecht eingereicht worden und der Beschwerdeführer ist zur Erhebung der Beschwerde legitimiert ( Art. 76 BGG ). Die Beschwerde in Zivilsachen ist grundsätzlich zulässig.</w:t>
      </w:r>
    </w:p>
    <w:p>
      <w:r>
        <w:rPr>
          <w:b/>
        </w:rPr>
        <w:t>E. 2</w:t>
      </w:r>
    </w:p>
    <w:p>
      <w:r>
        <w:t>Das Bundesgericht ist in tatsächlicher Hinsicht an den vorinstanzlich festgestellten Sachverhalt gebunden ( Art. 105 Abs. 1 BGG ). Diesbezüglich kann der Beschwerdeführer nur vorbringen, die vorinstanzlichen Feststellungen seien offensichtlich unrichtig ( Art. 97 Abs. 1 BGG ), das heisst sie seien willkürlich (s. BGE 134 V 53 E. 4.3 S. 62; 133 II 249 E. 1.2.2 S. 252), oder würden auf einer anderen Rechtsverletzung im Sinne von Art. 95 BGG (z.B. Art. 29 Abs. 2 BV oder Art. 8 ZGB ) beruhen.</w:t>
      </w:r>
    </w:p>
    <w:p>
      <w:r>
        <w:t>Neue tatsächliche Vorbringen sind überdies unzulässig, sofern nicht ausnahmsweise erst der angefochtene Entscheid dazu Anlass gibt ( Art. 99 BGG ).</w:t>
      </w:r>
    </w:p>
    <w:p>
      <w:r>
        <w:rPr>
          <w:b/>
        </w:rPr>
        <w:t>E. 2.1</w:t>
      </w:r>
    </w:p>
    <w:p>
      <w:r>
        <w:t>Der Beschwerdeführer rügt, die Vorinstanz habe seine finanziellen Verhältnisse willkürlich festgestellt. Die Vorinstanz hat insofern festgestellt, dass der Beschwerdeführer in der letzten Steuererklärung ein Vermögen von Fr. 29'962.00 auswies und neuere Zahlen zu seinem Vermögen nicht bekannt seien (E. 4b S. 3). Inwiefern diese Feststellung willkürlich sein sollte, ergibt sich aus der Begründung der Beschwerde nicht. Insbesondere wird damit nicht aufgezeigt, inwiefern sich aus dem " als Beilage 2 eingereichten Protokoll der Sozialbehörde "ergeben sollte, dass diese Feststellung schlechterdings nicht vertretbar sein sollte. Das als Beilage 2 zur Beschwerde eingereichte Protokoll der Sozialkommission datiert vom 27. Januar 2014 und wurde der Vorinstanz im Zusammenhang mit dem Wiedererwägungsgesuch vom 3. Februar 2014 eingereicht. Den Entscheid vom 5. Februar 2014, in dem dieses Gesuch abgewiesen wurde, hat der Beschwerdeführer nicht angefochten und es ist seiner Rechtsschrift folgerichtig auch nicht zu entnehmen, inwiefern die Abweisung dieses Gesuchs auf willkürlicher Sachverhaltsfeststellung beruhen sollte. In Bezug auf den allein angefochtenen Beschluss vom 20. Januar 2014 handelt es sich beim " Protokoll der Sozialbehörde" um ein unzulässiges Novum. Die Willkürrüge ist offensichtlich unbegründet, soweit darauf überhaupt einzutreten ist.</w:t>
      </w:r>
    </w:p>
    <w:p>
      <w:r>
        <w:rPr>
          <w:b/>
        </w:rPr>
        <w:t>E. 2.2</w:t>
      </w:r>
    </w:p>
    <w:p>
      <w:r>
        <w:t>Der Beschwerdeführer rügt unter Berufung auf ein Schreiben seines Rechtsvertreters vom 16. Dezember 2013 ausserdem, die Vorinstanz habe aktenwidrig festgestellt, er habe keinen Antrag auf unentgeltliche Rechtsvertretung gestellt. Die Vorinstanz hat festgestellt, der Beschwerdeführer habe</w:t>
      </w:r>
    </w:p>
    <w:p>
      <w:r>
        <w:t>in seiner Berufung keinen Antrag auf Gewährung der unentgeltlichen Rechtsvertretung gestellt. Die Berufung datiert vom 18. Oktober 2013. Auch diese Rüge zielt ins Leere. Die Rüge gegen die tatsächlichen Feststellungen der Vorinstanz über die Vermögensverhältnisse des Beschwerdeführers im Zeitpunkt seines Gesuches um unentgeltliche Rechtspflege bei der Vorinstanz ist abzuweisen, soweit darauf eingetreten werden kann.</w:t>
      </w:r>
    </w:p>
    <w:p>
      <w:r>
        <w:rPr>
          <w:b/>
        </w:rPr>
        <w:t>E. 3.1</w:t>
      </w:r>
    </w:p>
    <w:p>
      <w:r>
        <w:t>Nach Art. 117 ZPO hat eine Person Anspruch auf unentgeltliche Rechtspflege, wenn sie nicht über die für die Prozessführung erforderlichen Mittel verfügt (lit. a) und ihr Rechtsbegehren nicht aussichtslos erscheint (lit. b). Wer diese Bedingungen erfüllt, hat ausserdem Anspruch auf unentgeltlichen Rechtsbeistand, soweit dies zur Wahrung der Rechte notwendig ist ( Art. 118 Abs. 1 lit. c ZPO ). Mit diesen Regeln wird der verfassungsrechtliche Anspruch nach Art. 29 Abs. 3 BV ( BGE 129 I 129 E. 2.1 S. 133) auf Gesetzesstufe gewährleistet, weshalb die zu Art. 29 Abs. 3 BV ergangene Rechtsprechung auch insoweit einschlägig ist ( BGE 138 III 217 E. 2.2.4 S. 218; vgl. Botschaft zur Schweizerischen Zivilprozessordnung [ZPO] vom 28. Juni 2006, BBl 2006 7302, Ziff. 5.8.4 zu Art. 115 E-ZPO; Botschaft vom 28. Februar 2001 zur Totalrevision der Bundesrechtspflege, BBl 2001 4304 Ziff. 4.1.2.10 zu Art. 60 E-BGG). Danach sind die Voraussetzungen der Bedürftigkeit einerseits und der fehlenden Aussichtslosigkeit der Rechtsbegehren andererseits kumulativ erforderlich. Fehlt eine dieser Voraussetzungen, ist das Gesuch um unentgeltliche Rechtspflege abzuweisen.</w:t>
      </w:r>
    </w:p>
    <w:p>
      <w:r>
        <w:rPr>
          <w:b/>
        </w:rPr>
        <w:t>E. 3.2</w:t>
      </w:r>
    </w:p>
    <w:p>
      <w:r>
        <w:t>Bedürftig ist ein Gesuchsteller, der die Leistung der erforderlichen Prozess- und Parteikosten nur erbringen kann, wenn er die Mittel angreift, deren er zur Deckung des Grundbedarfs für sich und seine Familie bedarf ( BGE 135 I 221 E. 5.1 S. 223 mit Hinweisen). Prozessarmut ist mithin gegeben, wenn die betreffende Person nicht über die notwendigen Mittel (Einkommen und Vermögen) verfügt, um ohne erhebliche Beeinträchtigung ihrer Existenz für die Prozesskosten aufzukommen (Botschaft ZPO, BBl 2006 7301, Ziff. 5.8.4 zu Art. 115 E-ZPO).</w:t>
      </w:r>
    </w:p>
    <w:p>
      <w:r>
        <w:t>In der Beschwerde wird nicht dargetan, dass die Vorinstanz die Grundsätze zur Beurteilung der Bedürftigkeit verkannt oder falsch angewendet haben soll, wenn sie erwog, der Beschwerdeführer könne die mutmasslichen Prozesskosten angesichts des Streitbetrages aus seinem Vermögen von Fr. 29'962.00 auch dann bezahlen, wenn ein Notgroschen von Fr. 10'000.-- bis Fr. 15'000.-- berücksichtigt wird. Da jegliche Begründung fehlt, inwiefern die Vorinstanz aufgrund der willkürfrei festgestellten Vermögensverhältnisse des Beschwerdeführers die Voraussetzung der Bedürftigkeit rechtsfehlerhaft verneint haben soll, ist die Beschwerde abzuweisen, soweit darauf einzutreten ist.</w:t>
      </w:r>
    </w:p>
    <w:p>
      <w:r>
        <w:rPr>
          <w:b/>
        </w:rPr>
        <w:t>E. 3.3</w:t>
      </w:r>
    </w:p>
    <w:p>
      <w:r>
        <w:t>Die Vorinstanz hat auch die Prozessaussichten als nicht ernsthaft erachtet. Auf die Rügen des Beschwerdeführers dagegen braucht nicht eingegangen zu werden. Schliesslich ist auch die Höhe des von der Vorinstanz verlangten Kostenvorschusses mangels entsprechender Rügen nicht weiter zu überprüfen.</w:t>
      </w:r>
    </w:p>
    <w:p>
      <w:r>
        <w:rPr>
          <w:b/>
        </w:rPr>
        <w:t>E. 4</w:t>
      </w:r>
    </w:p>
    <w:p>
      <w:r>
        <w:t>Das Gesuch um Gewährung der aufschiebenden Wirkung wird mit dem Entscheid von heute insoweit nicht gegenstandslos, als die Folgen der Nichtleistung des Kostenvorschusses innert der durch die Vorinstanz gesetzten Frist in Frage stehen. Denn die Vorinstanz hat in Ziffer 2 ihres Beschlusses eine 10-tägige Frist ab Zustellung ihres Beschlusses gesetzt, welche abgelaufen ist. Die 10-tägige, nicht erstreckbare Frist ist daher neu ab Zustellung des vorliegenden Urteils anzusetzen.</w:t>
      </w:r>
    </w:p>
    <w:p>
      <w:r>
        <w:rPr>
          <w:b/>
        </w:rPr>
        <w:t>E. 5</w:t>
      </w:r>
    </w:p>
    <w:p>
      <w:r>
        <w:t>Die Beschwerde ist im Verfahren nach Art. 109 BGG als offensichtlich unbegründet abzuweisen, soweit darauf einzutreten ist.</w:t>
      </w:r>
    </w:p>
    <w:p>
      <w:r>
        <w:t>Da die Beschwerde offensichtlich keine Aussicht auf Erfolg hat, ist auch der Antrag auf Gewährung der unentgeltlichen Rechtspflege für das Verfahren vor Bundesgericht abzuweisen ( Art. 64 Abs. 1 BGG ).</w:t>
      </w:r>
    </w:p>
    <w:p>
      <w:r>
        <w:t>Die Gerichtskosten sind dem Beschwerdeführer zu auferlegen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