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104/2022 vom 29. März 2022</w:t>
      </w:r>
    </w:p>
    <w:p>
      <w:r>
        <w:t>Bundesgericht, 2022-03-29, DE</w:t>
      </w:r>
    </w:p>
    <w:p>
      <w:r>
        <w:rPr>
          <w:b/>
        </w:rPr>
        <w:t xml:space="preserve">Quelle: </w:t>
      </w:r>
      <w:r>
        <w:t>https://mcp.opencaselaw.ch/entscheid/bger_4A_104_2022</w:t>
      </w:r>
    </w:p>
    <w:p>
      <w:r>
        <w:t>FR: TF 4A 104/2022 du 29 mars 2022</w:t>
      </w:r>
    </w:p>
    <w:p>
      <w:r>
        <w:t>IT: TF 4A 104/2022 del 29 marzo 2022</w:t>
      </w:r>
    </w:p>
    <w:p>
      <w:pPr>
        <w:pStyle w:val="Heading2"/>
      </w:pPr>
      <w:r>
        <w:t>Regeste</w:t>
      </w:r>
    </w:p>
    <w:p>
      <w:r>
        <w:t>Handelsregister, | Register</w:t>
      </w:r>
    </w:p>
    <w:p>
      <w:pPr>
        <w:pStyle w:val="Heading2"/>
      </w:pPr>
      <w:r>
        <w:t>Erwägungen</w:t>
      </w:r>
    </w:p>
    <w:p>
      <w:r>
        <w:rPr>
          <w:b/>
        </w:rPr>
        <w:t>E. 1</w:t>
      </w:r>
    </w:p>
    <w:p>
      <w:r>
        <w:t>Der Beschwerde in Zivilsachen unterliegen öffentlich-rechtliche Entscheide, die in unmittelbarem Zusammenhang mit Zivilrecht stehen, insbesondere Entscheide über die Führung des Handelsregisters (Art. 72 Abs. 2 lit. b Ziff. 2 BGG; Urteil 4A_371/2021 vom 9. August 2021 E. 1 mit weiteren Hinweisen). Die Beschwerde in Zivilsachen ist jedoch grundsätzlich nur dann zulässig, wenn der Streitwert mindestens Fr. 30'000.-- beträgt. Im angefochtenen Urteil findet sich einzig die Feststellung, dass "von einem Fr. 20'000.-- übersteigenden Streitwert auszugehen" sei. Entgegen den gesetzlichen Vorschriften ( Art. 112 Abs. 1 lit. d BGG ) finden sich im Entscheid aber keine Angaben zum konkreten Streitwert. Ob die Streitwertgrenze vorliegend erreicht wäre, wie dies der Beschwerdeführer mit "Blick auf die wirtschaftlichen Auswirkungen der genannten Eintragung" geltend macht, kann offen bleiben: Selbst wenn die Eingabe als Beschwerde in Zivilsachen entgegen genommen wird, ist sie - wie nachfolgend gezeigt wird - abzuweisen, soweit darauf überhaupt eingetreten werden kann.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Der Beschwerdeführer schildert unter dem Titel "Sachverhalt" seine eigene Sicht der Dinge und geht dabei frei über den vorinstanzlich festgestellten Sachverhalt hinaus, ohne eine hinreichende Sachverhaltsrüge nach den oben genannten Anforderungen zu erheben (Erwägung 2.2). Darauf kann er sich im Folgenden nicht stützen.</w:t>
      </w:r>
    </w:p>
    <w:p>
      <w:r>
        <w:rPr>
          <w:b/>
        </w:rPr>
        <w:t>E. 3.2</w:t>
      </w:r>
    </w:p>
    <w:p>
      <w:r>
        <w:t>Der Beschwerdeführer macht eine Verletzung seines Anspruchs auf rechtliches Gehör geltend, da ihm die Vorinstanz keine Gelegenheit gegeben habe, in das Schreiben der FINMA vom 16. April 2021 an das Handelsregisteramt (act. 7/5 im vorinstanzlichen Verfahren) Einsicht zu nehmen. Da ihm das Schreiben vorenthalten worden sei, sei die angefochtene Handelsregistermutation nicht nur anfechtbar, sondern nichtig. Sodann liege eine überraschende Rechtsanwendung vor. Diese Rügen gehen fehl. Im genannten Schreiben forderte die FINMA das Handelsregisteramt auf, den ordnungsgemässen Zustand wiederherzustellen und die C.________ AG als Liquidatorin einzutragen. Dem kam das Handelsregisteramt mit Verfügung vom 23. April 2021 nach. Dagegen erhob der Beschwerdeführer mit Eingabe vom 26. Mai 2021 Beschwerde an die Vorinstanz. Das Handelsregisteramt reichte in der Folge eine Beschwerdeantwort (act. 6) samt Beilagen (act. 7) ein, wogegen der Beschwerdeführer mit Eingabe vom 12. Juli 2021 Stellung bezog (act. 8). Im Rahmen des vorinstanzlichen Verfahrens hätte der Beschwerdeführer somit ohne Weiteres ein Gesuch um Akteneinsicht stellen und Einsicht in die vom Handelsregisteramt eingereichten Beilagen (act. 7) samt Schreiben der FINMA (act. 7/5) nehmen können. Dass er solches gemacht hätte, und ihm die Vorinstanz die Einsicht zu Unrecht verweigert hätte, ist weder dargetan noch ersichtlich. Eine Verletzung des Anspruchs auf rechtliches Gehör ist damit nicht dargetan. Inwiefern eine überraschende Rechtsanwendung vorliegen würde oder die Handelsregistermutation nichtig wäre, legt der Beschwerdeführer mit seinen Ausführungen nicht hinreichend dar (Erwägung 2.1).</w:t>
      </w:r>
    </w:p>
    <w:p>
      <w:r>
        <w:rPr>
          <w:b/>
        </w:rPr>
        <w:t>E. 3.3</w:t>
      </w:r>
    </w:p>
    <w:p>
      <w:r>
        <w:t>Bereits vor der Vorinstanz machte der Beschwerdeführer geltend, dass bei der von ihm beanstandeten Mutation im Handelsregister das sog. Belegprinzip verletzt worden sei. Die Vorinstanz ging auf diesen Standpunkt ein und kam zusammengefasst zum Ergebnis, dass bereits eine rechtskräftige Verfügung der FINMA vorliege, die als Beleg diene und beim Handelsregisteramt hinterlegt sei. Das Belegprinzip sei nicht verletzt. Dagegen wiederholt der Beschwerdeführer zwar, dass das Belegprinzip verletzt sei, die Vorinstanz gegen Art. 940 OR , gegen das Prinzip des "Beanstandungsgrundsatzes für Formelles und Materielles" und gegen eine Vielzahl von Bestimmungen der Handelsregisterverordnung verstossen habe. Er setzt sich aber nicht hinreichend mit den Erwägungen der Vorinstanz auseinander, noch zeigt er nachvollziehbar auf, inwiefern die Vorinstanz diesbezüglich Bundesrecht verletzt haben soll (Erwägung 2.1).</w:t>
      </w:r>
    </w:p>
    <w:p>
      <w:r>
        <w:rPr>
          <w:b/>
        </w:rPr>
        <w:t>E. 3.4</w:t>
      </w:r>
    </w:p>
    <w:p>
      <w:r>
        <w:t>Der Beschwerdeführer stellt sich auf den Standpunkt, dass sich die FINMA und die von ihr eingesetzte Liquidatorin C.________ AG widersprüchlich verhalten haben. Auch die Vorinstanz räume ein, dass "augenscheinlich ein widersprüchliches Verhalten" der FINMA und der C.________ AG vorliege. Mit diesen pauschalen Behauptungen erhebt der Beschwerdeführer keine hinreichende Rüge (Erwägung 2.1). Im Übrigen stellte die Vorinstanz nicht fest, dass sich die FINMA und die C.________ AG widersprüchlich verhalten hätten, sondern erwog im Gegenteil, dass entgegen der Auffassung des Beschwerdeführers kein grob widersprüchliches Verhalten der FINMA und der C.________ AG vorliege und die entsprechende Rüge des Beschwerdeführers fehl gehe.</w:t>
      </w:r>
    </w:p>
    <w:p>
      <w:r>
        <w:rPr>
          <w:b/>
        </w:rPr>
        <w:t>E. 4</w:t>
      </w:r>
    </w:p>
    <w:p>
      <w:r>
        <w:t>Nach dem Ausgeführten ist die Beschwerde abzuweisen, soweit darauf überhaupt eingetreten werden kann. Bei diesem Ausgang des Verfahrens wird der Beschwerdeführer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