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4A_104/2019 vom 22. Mai 2019</w:t>
      </w:r>
    </w:p>
    <w:p>
      <w:r>
        <w:t>Bundesgericht, 2019-05-22, DE</w:t>
      </w:r>
    </w:p>
    <w:p>
      <w:r>
        <w:rPr>
          <w:b/>
        </w:rPr>
        <w:t xml:space="preserve">Quelle: </w:t>
      </w:r>
      <w:r>
        <w:t>https://mcp.opencaselaw.ch/entscheid/bger_4A_104_2019</w:t>
      </w:r>
    </w:p>
    <w:p>
      <w:r>
        <w:t>FR: TF 4A_104/2019 du 22 mai 2019</w:t>
      </w:r>
    </w:p>
    <w:p>
      <w:r>
        <w:t>IT: TF 4A_104/2019 del 22 maggio 2019</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Nach Art. 93 Abs. 1 lit. a BGG ist die Beschwerde gegen selbstständig eröffnete Zwischenentscheide zulässig, wenn sie einen nicht wieder gutzumachenden Nachteil bewirken können. Die Erstinstanz entzog der Beschwerdeführerin die unentgeltliche Rechtspflege. Mit dem angefochtenen Entscheid wies die Vorinstanz die Beschwerde der Beschwerdeführerin dagegen ab. Derartige Entscheide bewirken in der Regel einen nicht wieder gutzumachenden Nachteil im Sinne von Art. 93 Abs. 1 lit. a BGG ( BGE 133 IV 335 E. 4 S. 338 ; 129 I 129 E. 1.1 S. 131).</w:t>
      </w:r>
    </w:p>
    <w:p>
      <w:r>
        <w:rPr>
          <w:b/>
        </w:rPr>
        <w:t>E. 1.2</w:t>
      </w:r>
    </w:p>
    <w:p>
      <w:r>
        <w:t>Nach dem Grundsatz der Einheit des Verfahrens sind Zwischenentscheide mit dem in der Hauptsache zulässigen Rechtsmittel anzufechten ( BGE 137 III 380 E. 1.1 S. 382; 133 III 645 E. 2.2). In der Hauptsache fordern die Beschwerdeführerin und ihr Ehemann je hälftig Fr. 32'080.-- Schadenersatz von ihrem ehemaligen Rechtsvertreter. Es handelt sich um eine Zivilsache ( Art. 72 Abs. 1 BGG ) vermögensrechtlicher Natur.</w:t>
      </w:r>
    </w:p>
    <w:p>
      <w:r>
        <w:t>Die Beschwerdeführerin hält vor Bundesgericht dafür, dass der Streitwert in der Hauptsache Fr. 32'080.-- betrage und damit die Streitwertgrenze erreiche. Wie es sich damit verhält, braucht nicht beurteilt zu werden, da die Eingabe - wie nachfolgend gezeigt wird - selbst dann abgewiesen wird, wenn sie als Beschwerde in Zivilsachen entgegen genommen wird.</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kam zusammengefasst zum Schluss, dass bei der Beschwerdeführerin die Voraussetzungen für die Gewährung der unentgeltlichen Rechtspflege nicht erfüllt seien. Zwischen ihr und Rechtsanwalt C.________ bestünde mit "überwiegender Wahrscheinlichkeit" weder ein schriftlicher, mündlicher oder faktischer Vertrag, noch liege eine Vertretung des Ehemanns nach Art. 166 Abs. 1 ZGB vor. Es sei daher davon auszugehen, dass die Beschwerdeführerin für die Klage gegen Rechtsanwalt C.________ nicht aktivlegitimiert sei. Ihre Klage erscheine daher als aussichtslos.</w:t>
      </w:r>
    </w:p>
    <w:p>
      <w:r>
        <w:rPr>
          <w:b/>
        </w:rPr>
        <w:t>E. 4</w:t>
      </w:r>
    </w:p>
    <w:p>
      <w:r>
        <w:t>Vor Bundesgericht stellt sich die Beschwerdeführerin auf den Standpunkt, dass entgegen der Ansicht der Vorinstanz nicht nur ihr Ehemann, sondern auch sie selbst, im Prozess gegen den ehemaligen Rechtsanwalt aktivlegitimiert sei. Umstritten ist somit einzig, ob die Vorinstanz die Klage der Beschwerdeführerin gegen Rechtsanwalt C.________ zu Recht als aussichtslos im Sinne von Art. 117 lit. b ZPO beurteilte.</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t>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4D_67/2017 vom 22. November 2017 E. 3.1; 4A_375/2016 vom 8. Februar 2017 E. 3.2; je mit Hinweisen).</w:t>
      </w:r>
    </w:p>
    <w:p>
      <w:r>
        <w:rPr>
          <w:b/>
        </w:rPr>
        <w:t>E. 5.1</w:t>
      </w:r>
    </w:p>
    <w:p>
      <w:r>
        <w:t>Die Beschwerdeführerin verkennt die Begründungsanforderungen, wenn sie die vorinstanzliche Auslegung der Wendung "seiner Klientschaft" im Schreiben vom 23. März 2001 als willkürlich beanstandet. Sie hält der vorinstanzlichen Auslegung bloss ihre eigene Interpretation entgegen und bezeichnet die Auslegung der Vorinstanz pauschal als "geradezu an den Haaren herbeigezogen" und willkürlich. Damit zeigt sie nicht hinreichend auf, inwiefern die Auslegung des Schreibens durch die Vorinstanz offensichtlich unrichtig im oben genannten Sinne wäre (Erwägung 2.1). Darauf ist nicht einzutreten.</w:t>
      </w:r>
    </w:p>
    <w:p>
      <w:r>
        <w:t>Sie genügt den Begründungsanforderungen auch nicht, wenn sie bloss entgegen der Vorinstanz behauptet, die Vorinstanz verletzte Art. 29 Abs. 3 BV und Art. 117 ZPO , da Rechtsanwalt C.________ sie faktisch vertreten habe. Vielmehr hätte die Beschwerdeführerin hinreichend auf die Erwägungen 2c/aa S. 5 f. im vorinstanzlichen Entscheid eingehen und im Einzelnen aufzeigen sollen, worin eine Verletzung von Art. 29 Abs. 3 BV und Art. 117 ZPO liegt.</w:t>
      </w:r>
    </w:p>
    <w:p>
      <w:r>
        <w:rPr>
          <w:b/>
        </w:rPr>
        <w:t>E. 5.2</w:t>
      </w:r>
    </w:p>
    <w:p>
      <w:r>
        <w:t>Die Beschwerdeführerin rügt, die Vorinstanz sei mit keinem Wort auf ihre Ausführungen in Ziff. 10 ihrer kantonalen Beschwerde eingegangen. Sie habe dort dargelegt, dass der Sachschaden Miteigentum der Ehegatten betroffen und Rechtsanwalt C.________ faktisch immer beide Ehegatten vertreten habe. Dem Rechtsanwalt habe deshalb bewusst sein müssen, dass das "Hab und Gut" beiden gehört habe. Indem die Vorinstanz diese Ausführungen nicht beachte, verletze sie ihren Anspruch auf rechtliches Gehör und handle willkürlich.</w:t>
      </w:r>
    </w:p>
    <w:p>
      <w:r>
        <w:t>Es ist nicht zutreffend, dass die Vorinstanz auf diese Vorbringen nicht einging. Die Vorinstanz berücksichtigte sie im Gegenteil ausdrücklich in Erwägung 2c/aa S. 5 f. und ging darauf ein. Die Vorinstanz kam bloss zu einem anderen Schluss als die Beschwerdeführerin. Die Vorinstanz kam nämlich zum Ergebnis, dass Rechtsanwalt C.________ die Beschwerdeführerin auch nicht "faktisch" vertreten habe. Der Anspruch auf rechtliches Gehör ist damit nicht verletzt. Inwiefern der Entscheid der Vorinstanz diesbezüglich offensichtlich unrichtig wäre (dazu oben Erwägung 2.1), ist weder hinreichend dargelegt, noch ersichtlich.</w:t>
      </w:r>
    </w:p>
    <w:p>
      <w:r>
        <w:rPr>
          <w:b/>
        </w:rPr>
        <w:t>E. 5.3</w:t>
      </w:r>
    </w:p>
    <w:p>
      <w:r>
        <w:t>Die Beschwerdeführerin moniert, die Vorinstanz erwäge, dass keine Vertretung nach Art. 166 Abs. 1 ZGB vorliege, da prozessuale Handlungen in der Regel nicht von den laufenden Bedürfnissen der Familie erfasst seien. Die Vorinstanz verkenne dabei, dass die Beschwerdeführerin und ihr Ehemann Rechtsanwalt C.________ (noch) nicht mit der prozessualen Geltendmachung von Forderungen beauftragt hätten. Vielmehr beschränkten sich die Bemühungen des Anwalts auf aussergerichtliche Tätigkeiten. Im Weiteren sei zu beachten, dass sich die laufenden Bedürfnisse der Familie auch auf die Auslagen für die Wohnung und ihre Instandhaltung erstrecke. Die Beschwerdeführerin und ihr Ehemann würden zusammen leben und ihr Ehemann habe beide Ehegatten verpflichtet. Indem dies die Vorinstanz nicht beachte, habe sie Art. 166 Abs. 1 ZGB , Art. 29 Abs. 3 BV und Art. 117 ZPO verletzt.</w:t>
      </w:r>
    </w:p>
    <w:p>
      <w:r>
        <w:t>Die Vorinstanz stellte nicht fest, dass Rechtsanwalt C.________ zur "prozessualen Geltendmachung" von Ansprüchen beauftragt worden sei. Vielmehr erwog sie bloss, dass "die Kosten der Rechtsvertretung</w:t>
      </w:r>
    </w:p>
    <w:p>
      <w:r>
        <w:t>und Prozessführung" über den finanziellen Verhältnissen der Beschwerdeführerin und ihrem Ehemann liegen würden. Inwiefern dies unrichtig wäre, legt die Beschwerdeführerin nicht dar, geschweige denn zeigt sie auf, dass die Vorinstanz diesbezüglich ihren Beurteilungsspielraum bei der Prüfung der Aussichtslosigkeit überschritten hätte. Auch im Übrigen ist der Entscheid der Vorinstanz im Zusammenhang mit der Vertretung der ehelichen Gemeinschaft nicht zu beanstanden. Es ist weder hinreichend dargetan noch ersichtlich, dass die Vorinstanz von anerkannten Rechtsgrundsätzen abgewichen wäre, sie Umstände berücksichtigt hätte, die für die Prognose im Einzelfall keine Rolle hätte spielen dürfen, oder umgekehrt Umstände ausser Betracht gelassen hätte, die hätten beachtet werden müssen (vgl. Erwägung 4). Art. 166 Abs. 1 ZGB , Art. 29 Abs. 3 BV und Art. 117 ZPO sind nicht verletzt.</w:t>
      </w:r>
    </w:p>
    <w:p>
      <w:r>
        <w:rPr>
          <w:b/>
        </w:rPr>
        <w:t>E. 5.4</w:t>
      </w:r>
    </w:p>
    <w:p>
      <w:r>
        <w:t>Die Beschwerdeführerin vermag damit mit ihren Vorbringen nicht gegen die vorläufige Würdigung der Erfolgsaussichten durch die Vorinstanz aufzukommen. Die Vorinstanz ist somit zu Recht davon ausgegangen, dass das Begehren der Beschwerdeführerin aussichtslos ist und damit das Gesuch um unentgeltliche Rechtspflege durch die Erstinstanz zu Recht entzogen wurde.</w:t>
      </w:r>
    </w:p>
    <w:p>
      <w:r>
        <w:rPr>
          <w:b/>
        </w:rPr>
        <w:t>E. 6</w:t>
      </w:r>
    </w:p>
    <w:p>
      <w:r>
        <w:t>Nach dem Ausgeführten ist die Beschwerde abzuweisen, soweit auf sie überhaupt eingetreten werden kann. Bei diesem Ausgang des Verfahrens wird die Beschwerdeführerin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