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102/2023 vom 17. Oktober 2023</w:t>
      </w:r>
    </w:p>
    <w:p>
      <w:r>
        <w:t>Bundesgericht, 2023-10-17, FR</w:t>
      </w:r>
    </w:p>
    <w:p>
      <w:r>
        <w:rPr>
          <w:b/>
        </w:rPr>
        <w:t xml:space="preserve">Quelle: </w:t>
      </w:r>
      <w:r>
        <w:t>https://mcp.opencaselaw.ch/entscheid/bger_4A_102_2023</w:t>
      </w:r>
    </w:p>
    <w:p>
      <w:r>
        <w:t>FR: TF 4A 102/2023 du 17 octobre 2023</w:t>
      </w:r>
    </w:p>
    <w:p>
      <w:r>
        <w:t>IT: TF 4A 102/2023 del 17 ottobre 2023</w:t>
      </w:r>
    </w:p>
    <w:p>
      <w:pPr>
        <w:pStyle w:val="Heading2"/>
      </w:pPr>
      <w:r>
        <w:t>Regeste</w:t>
      </w:r>
    </w:p>
    <w:p>
      <w:r>
        <w:t>légitimation active; moment de l'examen, | Droit des contrats</w:t>
      </w:r>
    </w:p>
    <w:p>
      <w:pPr>
        <w:pStyle w:val="Heading2"/>
      </w:pPr>
      <w:r>
        <w:t>Erwägungen</w:t>
      </w:r>
    </w:p>
    <w:p>
      <w:r>
        <w:rPr>
          <w:b/>
        </w:rPr>
        <w:t>E. 1</w:t>
      </w:r>
    </w:p>
    <w:p>
      <w:r>
        <w:t>Interjeté en temps utile ( art. 100 al. 1 LTF ) par la partie demanderesse qui a succombé dans ses conclusions ( art. 76 al. 1 LTF ), contre un arrêt final ( art. 90 LTF ), rendu sur appel par le Tribunal supérieur du canton du Jura ( art. 75 LTF ), dans une affaire civile ( art. 72 al. 1 LTF ) dont la valeur litigieuse dépasse 30'000 fr. ( art. 74 al. 1 let. b LTF ), le recours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Le Tribunal fédéral n'est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 ATF 138 II 331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question litigieuse est de savoir si la demanderesse a la légitimation active en vertu d'une cession de créance intervenue en cours de litispendance. La recourante invoque une violation de l' art. 164 al. 1 CO . Elle soutient être titulaire d'une cession de créance - respectivement d'une rétrocession - valide dès le jour du sinistre, et entend en tirer sa légitimation active. La recourante soutient que la forme écrite obligatoire pour le déploiement des effets de la cession de créance n'impose pas l'apposition d'une date sur l'acte de cession. Selon la recourante, le fait que la cour cantonale a considéré que la cession de créance n'était valable que dès la date apposée sur le contrat de cession viole le droit.</w:t>
      </w:r>
    </w:p>
    <w:p>
      <w:r>
        <w:rPr>
          <w:b/>
        </w:rPr>
        <w:t>E. 3.1.1</w:t>
      </w:r>
    </w:p>
    <w:p>
      <w:r>
        <w:t>Aux termes de l' art. 164 al. 1 CO , la cession de créance est un contrat (cf. art. 165 CO ) par lequel le titulaire d'une créance (le cédant) transfère son droit à une autre personne (le cessionnaire). La cession opère la substitution du titulaire d'une créance par un nouveau titulaire (THOMAS PROBST, Commentaire romand, n. 1 ad art. 164 CO ). Si le cessionnaire cède au cédant la créance qui lui a été transférée antérieurement par ce dernier, on parle de rétrocession ( ATF 130 III 248 , consid. 3.1; THOMAS PROBST, op. cit., n. 3 ad art. 164 CO ). Toutes les conséquences juridiques de la cession s'appliquent à la rétrocession ( ATF 130 III 248 consid. 3.1). Le contrat de cession de créance doit être passé en la forme écrite ( art. 165 al. 1 CO ). Conformément au régime général, le contrat déploie ses effets lorsqu'il est existant, soit lorsque les parties ont réciproquement et d'une manière concordante, manifesté leur volonté ( art. 1 al. 1 CO ), et valide, soit lorsqu'aucune cause d'invalidité n'empêche leur naissance ( art. 11 ss CO ) (BLAISE CARRON/PIERRE WESSNER, Droit des obligations - Partie générale, Vol. 1 2022, n. 1269). Lorsqu'un contrat doit être conclu dans une forme spéciale, sa validité est subordonnée à l'observation de celle-ci ( art. 11 al. 1 CO ). Si la forme prescrite n'est pas respectée, le contrat n'est pas valide, soit nul, et ne déploie aucun effet ( art. 11 al. 2 CO ; ATF 90 II 34 consid. 3). Cette règle s'applique à la cession de créance. Lorsque le contrat de cession de créance ne respecte pas la forme prescrite par la loi - soit la forme écrite - le contrat ne déploie aucun effet (VON TUHR/ESCHER, Allgemeiner Teil des schweizerischen Obligationenrecht, T. II, Zurich 1974, p. 336). Lorsqu'une cession de créance ne respectant pas la forme prescrite peut être confirmée par l'établissement ultérieur d'une cession de créance valide, celle-ci ne déploie ses effets qu'au moment de la perfection du contrat respectant les exigences de forme et pour le futur (arrêt 4C.41/2003 du 24 juin 2003 consid. 4.4; GIRSBERGER/HERMANN, in Basler Kommentar, Obligationenrecht I, 7e éd. 2020, n° 11 ad art. 165 CO ; THOMAS PROBST, in Commentaire romand, Code des obligations I, 3e éd. 2021, n° 11 ad art. 165 CO ; VON TUHR/ESCHER, op. cit., p. 336).</w:t>
      </w:r>
    </w:p>
    <w:p>
      <w:r>
        <w:rPr>
          <w:b/>
        </w:rPr>
        <w:t>E. 3.1.2</w:t>
      </w:r>
    </w:p>
    <w:p>
      <w:r>
        <w:t>La question de savoir si la rétrocession de créance suffit à conférer la légitimation active au demandeur relativement à la créance litigieuse, c'est-à-dire si elle l'autorise à faire valoir en justice la prétention de ce chef en tant que titulaire du droit, ressortit au droit matériel. Seule la question de savoir si celle-ci a été invoquée en temps utile et si le tribunal peut la prendre en considération est une question de procédure ( ATF 130 III 248 consid. 2; HOHL, Procédure civile, Tome I, 2ème éd. 2016, n. 767).</w:t>
      </w:r>
    </w:p>
    <w:p>
      <w:r>
        <w:rPr>
          <w:b/>
        </w:rPr>
        <w:t>E. 3.1.3</w:t>
      </w:r>
    </w:p>
    <w:p>
      <w:r>
        <w:t>La légitimation active ou la légitimation passive relève du fondement matériel de l'action; elle appartient au sujet (actif ou passif) du droit invoqué en justice ( ATF 142 III 782 consid. 3.1.3.2; 130 III 417 consid. 3.1 et 3.4; 126 III 59 consid. 1a; 125 III 82 consid. 1a). Le défaut de légitimation active ou passive entraîne le rejet de la demande ( ATF 142 III 782 consid. 3.1.3). Il incombe au demandeur de prouver les faits desquels il tire sa légitimation active ( ATF 123 III 60 consid. 3a). Le Tribunal fédéral examine librement la légitimation active et passive ( art. 106 al. 1 LTF ; ATF 142 III 782 consid. 3.1.4; 130 III 417 consid. 3.1; 128 III 50 consid. 2b/bb; 123 III 60 consid. 3a). L'acte introductif d'instance de l' art. 64 al. 2 CPC par lequel le demandeur ouvre l'action contre le défendeur afin de respecter le délai de droit matériel - de prescription ou de péremption - auquel est soumis son droit est le même que celui qui crée la litispendance au sens de l' art. 62 al. 1 CPC . La date déterminante pour apprécier la légitimation active est donc celle de l'ouverture d'action et de la litispendance (arrêts 4A_282/2021 du 29 novembre 2021 consid. 4.3; 4A_560/2015 du 20 mai 2016 consid. 4.1.1; 4A_482/2015 du 7 janvier 2016 consid. 2.2). Lorsque la procédure au fond doit être précédée d'une tentative de conciliation ( art. 197 CPC ), l'acte qui introduit l'instance est le dépôt de la requête de conciliation ( art. 62 al. 1 CPC ). Partant, la litispendance débute à ce moment-là (titre marginal de l' art. 62 CPC ). Elle a en particulier pour effet procédural d'interdire aux parties de porter la même action devant une autre autorité (exception de litispendance; art. 64 al. 1 let. a CPC ) et de fixer définitivement le for (perpetuatio fori; art. 64 al. 1 let. b CPC ). Elle entraîne également la fixation de l'objet du procès et la fixation des parties à celui-ci, des modifications n'étant alors possibles qu'aux conditions restrictives prévues par le code (arrêt 4A_560/2015 du 20 mai 2016 consid. 4.1.2).</w:t>
      </w:r>
    </w:p>
    <w:p>
      <w:r>
        <w:rPr>
          <w:b/>
        </w:rPr>
        <w:t>E. 3.2</w:t>
      </w:r>
    </w:p>
    <w:p>
      <w:r>
        <w:t>En l'espèce, la cour cantonale a considéré que la demanderesse, qui avait justifié de sa légitimation active dans sa réplique par une cession de créance n'existant que depuis le 16 mars 2022, n'était pas titulaire du droit auquel elle prétendait au moment de l'introduction de l'instance, lors du dépôt de la requête de conciliation. Par conséquent, elle n'avait pas la légitimation active à ce moment-là.</w:t>
      </w:r>
    </w:p>
    <w:p>
      <w:r>
        <w:rPr>
          <w:b/>
        </w:rPr>
        <w:t>E. 3.3</w:t>
      </w:r>
    </w:p>
    <w:p>
      <w:r>
        <w:t>La recourante soutient d'abord que la cour cantonale a violé le droit en exigeant que la cession de créance soit datée pour être valide. Son argument tombe à faux dans la mesure où la cour cantonale n'a pas soumis la validité de la cession de créance à l'apposition d'une date sur celle-ci. La recourante soutient ensuite que l'établissement de la cession de créance en forme écrite le 16 mars 2022, complétée le 5 avril 2022, a eu pour effet de lui céder les droits d'agir contre l'intimée rétroactivement au jour du sinistre et qu'elle avait par conséquent la légitimation active au moment de l'introduction de l'instance. Le contrat de cession de créance ne déploie ses effets que dès la perfection de celui-ci pour autant que l'exigence de forme prescrite soit respectée ( art. 11 al. 2 CO ). Par conséquent, la demanderesse ne pouvait se prévaloir d'effets juridiques attachés à la cession avant que celle-ci n'existe. Il s'ensuit que la demanderesse recourante ne s'est vu céder les droits d'agir contre l'intimée que dès la réception de la cession signée, soit après l'introduction de l'instance. La cour cantonale a donc considéré à juste titre que la demanderesse n'avait pas la légitimation active au début de la litispendance. Il s'ensuit que la cour cantonale n'a pas violé le droit et que le grief de la recourante doit être rejeté.</w:t>
      </w:r>
    </w:p>
    <w:p>
      <w:r>
        <w:rPr>
          <w:b/>
        </w:rPr>
        <w:t>E. 4</w:t>
      </w:r>
    </w:p>
    <w:p>
      <w:r>
        <w:t>Au vu de ce qui précède, le recours doit être rejeté. La recourante, qui succombe, prendra à sa charge les frais de la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