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4A_102/2019 vom 20. Dezember 2019</w:t>
      </w:r>
    </w:p>
    <w:p>
      <w:r>
        <w:t>Bundesgericht, 2019-12-20, FR</w:t>
      </w:r>
    </w:p>
    <w:p>
      <w:r>
        <w:rPr>
          <w:b/>
        </w:rPr>
        <w:t xml:space="preserve">Quelle: </w:t>
      </w:r>
      <w:r>
        <w:t>https://mcp.opencaselaw.ch/entscheid/bger_4A_102_2019</w:t>
      </w:r>
    </w:p>
    <w:p>
      <w:r>
        <w:t>FR: TF 4A_102/2019 du 20 décembre 2019</w:t>
      </w:r>
    </w:p>
    <w:p>
      <w:r>
        <w:t>IT: TF 4A_102/2019 del 20 dicembre 2019</w:t>
      </w:r>
    </w:p>
    <w:p>
      <w:pPr>
        <w:pStyle w:val="Heading2"/>
      </w:pPr>
      <w:r>
        <w:t>Erwägungen</w:t>
      </w:r>
    </w:p>
    <w:p>
      <w:r>
        <w:rPr>
          <w:b/>
        </w:rPr>
        <w:t>E. 1</w:t>
      </w:r>
    </w:p>
    <w:p>
      <w:r>
        <w:t>Interjeté par la partie qui a succombé dans ses conclusions libératoires et a donc qualité pour recourir ( art. 76 al. 1 LTF ), dirigé contre un arrêt final ( art. 90 LTF ) rendu en matière civile ( art. 72 al. 1 LTF ) par le tribunal supérieur désigné comme autorité cantonale de dernière instance, lequel a statué sur recours ( art. 75 LTF ), dans une contestation pécuniaire dont la valeur litigieuse atteint le seuil de 15'000 fr. requis pour les affaires de droit du travail ( art. 74 al. 1 let. a LTF ), le recours est recevable, puisqu'il a été déposé dans le délai ( art. 100 al. 1 LTF ) et la forme ( art. 42 LTF ) prévus par la loi.</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Lorsqu'il prétend - au chiffre VI de son mémoire - rappeler les faits pertinents en s'écartant des constatations de l'arrêt attaqué et sans expliquer en quoi ces faits auraient été établis de manière arbitraire, le recourant méconnaît les principes qui précèdent. Il n'en sera pas tenu compte.</w:t>
      </w:r>
    </w:p>
    <w:p>
      <w:r>
        <w:rPr>
          <w:b/>
        </w:rPr>
        <w:t>E. 3</w:t>
      </w:r>
    </w:p>
    <w:p>
      <w:r>
        <w:t>Le recourant affirme avoir repris le point de vente que C.________ AG exploitait à Neuchâtel et concède que l' art. 333 al. 1 CO constitue la clé de voûte du raisonnement. A le suivre, cette disposition ne s'appliquerait toutefois pas en l'espèce; en effet, les rapports de travail ne lui auraient pas été transférés puisque le contrat de travail de l'employée avait été valablement résilié par C.________ AG pour le 30 septembre 2014, soit pour une date précédant la reprise de l'exploitation du point de vente par son entreprise individuelle.</w:t>
      </w:r>
    </w:p>
    <w:p>
      <w:r>
        <w:rPr>
          <w:b/>
        </w:rPr>
        <w:t>E. 3.1</w:t>
      </w:r>
    </w:p>
    <w:p>
      <w:r>
        <w:t>La cour cantonale n'a pas méconnu cet état de fait, mais a considéré que le licenciement signifié le 24 septembre 2014 pour le 30 septembre 2014 suivant visait clairement à faire échec à l' art. 333 al. 1 CO qui est de droit impératif, de sorte qu'il ne déployait aucun effet.</w:t>
      </w:r>
    </w:p>
    <w:p>
      <w:r>
        <w:t>Le recourant s'inscrit en faux contre cette appréciation et affirme que la résiliation notifiée par C.________ AG était consécutive au mauvais comportement de l'employée. Les juges neuchâtelois auraient versé dans l'arbitraire en retenant le contraire. Pour étayer ses dires, le recourant se réfère à différentes pièces du dossier. Cependant, il n'indique pas dans quelle écriture il aurait allégué les faits qu'il prétend voir corrigés. Or, il n'appartient pas au Tribunal fédéral de les rechercher lui-même. En tout état de cause, les témoignages auxquels le recourant se réfère ne démontrent pas avec l'évidence qui eût été nécessaire l'inanité de l'appréciation à laquelle la cour cantonale s'est livrée, lorsqu'elle a vu dans la volonté de faire échec au transfert des rapports de travail le véritable motif de la résiliation.</w:t>
      </w:r>
    </w:p>
    <w:p>
      <w:r>
        <w:rPr>
          <w:b/>
        </w:rPr>
        <w:t>E. 3.2</w:t>
      </w:r>
    </w:p>
    <w:p>
      <w:r>
        <w:t>Pour le reste, le raisonnement que le recourant développe sur la base de la prémisse - erronée - selon laquelle il y aurait deux contrats de travail successifs et bien distincts ne peut être suivi. Dans ce contexte également, l'employeur propose d'ailleurs une relecture des faits qui s'écarte notablement de ceux établis par l'autorité précédente, sans détailler le moins du monde ceux qu'il aurait allégués conformément aux exigences de procédure.</w:t>
      </w:r>
    </w:p>
    <w:p>
      <w:r>
        <w:rPr>
          <w:b/>
        </w:rPr>
        <w:t>E. 3.3</w:t>
      </w:r>
    </w:p>
    <w:p>
      <w:r>
        <w:t>Sur le vu de ce qui précède, le recours ne peut qu'être rejeté, dans la mesure où il est recevable.</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du recourant, lequel prendra à sa charge les frais de la présente procédure ( art. 66 al. 1 LTF ).</w:t>
      </w:r>
    </w:p>
    <w:p>
      <w:r>
        <w:t>L'employée intimée a droit à des dépens ( art. 68 al. 1 et 2 LTF ) pour sa détermination relative à la requête d'effet suspensif, mais non pour la réponse au fond qu'elle n'avait pas été invitée à déposer.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