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4A_102/2008 vom 27. Mai 2008</w:t>
      </w:r>
    </w:p>
    <w:p>
      <w:r>
        <w:t>Bundesgericht, 2008-05-27, FR</w:t>
      </w:r>
    </w:p>
    <w:p>
      <w:r>
        <w:rPr>
          <w:b/>
        </w:rPr>
        <w:t xml:space="preserve">Quelle: </w:t>
      </w:r>
      <w:r>
        <w:t>https://mcp.opencaselaw.ch/entscheid/bger_4A_102_2008</w:t>
      </w:r>
    </w:p>
    <w:p>
      <w:r>
        <w:t>FR: TF 4A_102/2008 du 27 mai 2008</w:t>
      </w:r>
    </w:p>
    <w:p>
      <w:r>
        <w:t>IT: TF 4A_102/2008 del 27 maggio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prescrit en matière de droit du travail (art. 51 al. 1 let. a et 74 al. 1 let. a LTF). Il est formé par une partie qui a pris part à l'instance précédente et succombé dans ses conclusions ( art. 76 al. 1 LTF ). Introduit en temps utile ( art. 100 al. 1 LTF ) et dans les formes requises (art. 42 al. 1 à 3 LTF), le recours en matière civile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de plus, il ne se prononce sur la violation de droits fondamentaux que s'il se trouve saisi d'un grief invoqué et motivé de façon détaillée ( art. 106 al. 2 LTF ; même arrêt, consid. 1.4.2).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 travail de durée indéterminée et que celui-ci pouvait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de mettre unilatéralement fin au contrat ( ATF 132 III 115 consid. 2.4 p. 118; 131 III 535 consid. 4.2 p. 539 in medio).</w:t>
      </w:r>
    </w:p>
    <w:p>
      <w:r>
        <w:t>Selon l' art. 336 al. 1 let . d CO, une résiliation est abusive lorsqu'elle intervient parce que l'autre partie fait valoir de bonne foi des prétentions résultant du contrat de travail. La Cour d'appel condamne la défenderesse sur la base de cette disposition. Selon ses constatations de fait qui lient le Tribunal fédéral, cette partie n'a pas licencié le demandeur parce l'organisation du travail n'était plus possible en raison de son activité à mi-temps, ce qu'elle alléguait, mais parce qu'il avait refusé de reprendre une activité à temps complet, ce qui ne pouvait pas être exigé de lui en raison de son état de santé médicalement attesté. Or, dans la situation ainsi constatée, le demandeur était fondé à exiger les égards voulus pour sa santé, conformément aux devoirs que l' art. 328 al. 1 CO impose à tout employeur. La Cour retient donc avec raison que la résiliation du contrat était une vengeance prohibée par l' art. 336 al. 1 let . d CO (cf. Rémy Wyler, Droit du travail, 2e éd., Berne 2008, p. 547); la défenderesse se plaint à tort d'une application incorrecte de cette disposition.</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En l'occurrence, la défenderesse ne conteste pas le montant de 16'800 fr. retenu par la Cour d'appel; celui-ci sera donc confirmé.</w:t>
      </w:r>
    </w:p>
    <w:p>
      <w:r>
        <w:rPr>
          <w:b/>
        </w:rPr>
        <w:t>E. 3</w:t>
      </w:r>
    </w:p>
    <w:p>
      <w:r>
        <w:t>En règle générale, selon l' art. 357 al. 1 CO , les clauses d'une convention collective de travail relatives à la conclusion, au contenu et à l'extinction des contrats individuels de travail ont, pour la durée de cette convention, un effet direct et impératif envers les employeurs et les travailleurs qu'elle lie.</w:t>
      </w:r>
    </w:p>
    <w:p>
      <w:r>
        <w:rPr>
          <w:b/>
        </w:rPr>
        <w:t>E. 3.1</w:t>
      </w:r>
    </w:p>
    <w:p>
      <w:r>
        <w:t>Il est constant qu'X.Y.________Sàrl, employeuse du demandeur, faute d'être affiliée à la section genevoise de l'Union professionnelle suisse de l'automobile, n'était en principe pas assujettie à la convention collective conclue le 1er janvier 2006 pour l'industrie des garages du canton de Genève. La Cour d'appel retient cependant qu'au regard de l' art. 2 al. 2 CC , selon lequel l'abus manifeste d'un droit n'est pas protégé par la loi, l'indépendance juridique des sociétés X.________SA et X.Y.________Sàrl n'est pas opposable au demandeur, de sorte que ce dernier bénéficie de la convention collective à raison de l'assujettissement de cette société-là.</w:t>
      </w:r>
    </w:p>
    <w:p>
      <w:r>
        <w:t>Selon la jurisprudence relative à cette disposition légale, celui qui a conclu un contrat commet éventuellement un abus de droit lorsque, pour éluder ses obligations envers l'autre partie, il se substitue une tierce personne qui lui est liée ( ATF 113 II 31 consid. 2c p. 36). En particulier, il est admis que la dualité juridique d'une société anonyme et de son actionnaire unique ne doit pas être prise en considération lorsqu'il y a abus de droit à l'invoquer ( ATF 132 III 737 consid. 2.3 p. 742; 132 III 489 consid. 3.2 p. 493).</w:t>
      </w:r>
    </w:p>
    <w:p>
      <w:r>
        <w:rPr>
          <w:b/>
        </w:rPr>
        <w:t>E. 3.2</w:t>
      </w:r>
    </w:p>
    <w:p>
      <w:r>
        <w:t>La Cour d'appel ne constate pas l'identité des actionnaires d'X.________SA. Il est néanmoins constant que des liens étroits existent entre les deux sociétés, les deux dirigeants de l'une participant à l'autre.</w:t>
      </w:r>
    </w:p>
    <w:p>
      <w:r>
        <w:rPr>
          <w:b/>
        </w:rPr>
        <w:t>E. 4</w:t>
      </w:r>
    </w:p>
    <w:p>
      <w:r>
        <w:t>La Cour a interrogé A.________ et H.C.________; elle a résumé leurs déclarations dans son prononcé. L'administratrice d'X.________SA a expliqué qu'initialement, cette société exploitait un atelier de mécanique alors que ses dirigeants n'avaient pas de connaissances en mécanique de l'automobile. H.C.________ a fondé Y.________Sàrl après qu'il eut personnellement exploité un garage et subi une faillite. Il est entré en contact avec X.________SA pour proposer les activités de sous-traitance de Y.________Sàrl. Des relations professionnelles se développèrent; H.C.________ collabora d'abord à l'atelier d'X.________SA, puis une association fut réalisée avec la fondation d'X.Y.________Sàrl, à laquelle participe son épouse; l'atelier fut désormais exploité par cette nouvelle société.</w:t>
      </w:r>
    </w:p>
    <w:p>
      <w:r>
        <w:t>La Cour n'a porté aucun jugement sur la force probante de ces déclarations mais elle les a consignées sans relever aucun élément qui justifierait de les mettre en doute. Sur la base de l' art. 105 al. 2 LTF , en tant que les faits décrits sont pertinents pour élucider la relation des deux sociétés, le Tribunal fédéral peut les intégrer aux constatations déterminantes.</w:t>
      </w:r>
    </w:p>
    <w:p>
      <w:r>
        <w:t>La convention collective a été conclue le 1er janvier 2006 et elle est entrée en vigueur le même jour. On ne saurait présumer qu'en septembre 2004 déjà, lors de la fondation d'X.Y.________Sàrl, X.________SA ait entrepris de lui transférer l'atelier de mécanique dans le but d'éluder des obligations futures. Par ailleurs, X.Y.________Sàrl a bien l'apparence d'une société commerciale réellement constituée entre les dirigeants d'X.________SA, d'une part, et les époux C.________ d'autre part, dans le but d'exploiter une entreprise commune. Cette entreprise est certes utile, voire même nécessaire à X.________SA, mais elle a néanmoins une activité spécifique et elle requiert des aptitudes professionnelles que H.C.________ peut apporter alors qu'elles étaient absentes dans la société anonyme. Enfin, les deux sociétés occupent des locaux distincts, quoique voisins; elles ont des collaborateurs distincts et X.________SA n'est pas la seule cliente d'X.Y.________Sàrl.</w:t>
      </w:r>
    </w:p>
    <w:p>
      <w:r>
        <w:t>Pour parvenir à la conclusion que les deux sociétés sont intégrées en une seule entreprise avec une direction unique, la Cour relève les ambiguïtés existant dans la correspondance et divers documents. On peut sans doute retenir que ces sociétés partenaires ne font guère d'efforts pour prévenir les confusions. La Cour constate aussi qu'X.________SA retire certains avantages de son affiliation à l'Union professionnelle suisse de l'automobile, alors qu'en raison des occupations de son propre personnel, la convention collective ne lui impose aucune obligation. Ces faits ne justifient pas de passer outre à l'autonomie d'X.Y.________Sàrl pour lui appliquer une convention collective à laquelle elle n'avait pas adhéré. De par son texte, l' art. 2 al. 2 CC ne vise que l'abus manifeste d'un droit. Il importe donc d'appliquer cette règle avec modération; elle n'est pas destinée à invalider toute construction juridique que le juge trouverait critiquable en considération de certains des intérêts en présence. En l'espèce, au regard de l'ensemble des circonstances, la défenderesse est fondée à dénoncer une application incorrecte de l' art. 2 al. 2 CC .</w:t>
      </w:r>
    </w:p>
    <w:p>
      <w:r>
        <w:rPr>
          <w:b/>
        </w:rPr>
        <w:t>E. 4.1</w:t>
      </w:r>
    </w:p>
    <w:p>
      <w:r>
        <w:t>Au surplus, la juridiction cantonale ne pouvait pas valablement appliquer la convention collective à toute la durée d'un rapport de travail qui avait débuté avant son entrée en vigueur.</w:t>
      </w:r>
    </w:p>
    <w:p>
      <w:r>
        <w:rPr>
          <w:b/>
        </w:rPr>
        <w:t>E. 5</w:t>
      </w:r>
    </w:p>
    <w:p>
      <w:r>
        <w:t>Selon l' art. 64 al. 1 et 2 LTF , le Tribunal fédéral peut accorder l'assistance judiciaire à une partie à condition que celle-ci ne dispose pas de ressources suffisantes et que ses conclusions ne paraissent pas d'emblée vouées à l'échec.</w:t>
      </w:r>
    </w:p>
    <w:p>
      <w:r>
        <w:t>Le demandeur ayant obtenu gain de cause dans les instances cantonales, ses conclusions tendant au rejet du recours présentaient certaines chances de succès. En revanche, il ne semble pas dépourvu des ressources nécessaires aux frais de l'instance fédérale, compte tenu qu'il annonce un revenu mensuel brut d'environ 3'900 fr. et qu'il ne fait état d'aucune charge familiale. Sa demande d'assistance judiciaire sera donc rejetée.</w:t>
      </w:r>
    </w:p>
    <w:p>
      <w:r>
        <w:rPr>
          <w:b/>
        </w:rPr>
        <w:t>E. 6</w:t>
      </w:r>
    </w:p>
    <w:p>
      <w:r>
        <w:t>La condamnation de la défenderesse se révèle contraire au droit fédéral sur l'un des chefs de la contestation, de sorte que l'arrêt de la Cour d'appel sera réformé.</w:t>
      </w:r>
    </w:p>
    <w:p>
      <w:r>
        <w:t>Aucune des parties n'obtient entièrement gain de cause; il s'ensuit que l'émolument judiciaire et les dépens doivent être répartis proportionnellement entre elles (art. 66 al. 1 et 68 al.1 LTF). La valeur litigieuse déterminante selon l'art. 3 al. 2 du tarif (RS 173.110.210.3) s'élève à 25'000 fr. environ. Le demandeur et la défenderesse succombent respectivement pour 2/5 et 3/5 de cette valeur. L'émolument judiciaire sera fixé à 1'000 fr. ( art. 65 al. 4 let . c LTF); il doit être acquitté à raison de 400 fr. par le demandeur et de 600 fr. par la défenderesse. La charge des dépens, évaluée à 2'500 fr. tant pour le demandeur que pour la défenderesse, doit être répartie dans la même proportion. Après compensation à due concurrence, la défenderesse doit donc verser 500 fr.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