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102/2007 vom 9. Juli 2007</w:t>
      </w:r>
    </w:p>
    <w:p>
      <w:r>
        <w:t>Bundesgericht, 2007-07-09, DE</w:t>
      </w:r>
    </w:p>
    <w:p>
      <w:r>
        <w:rPr>
          <w:b/>
        </w:rPr>
        <w:t xml:space="preserve">Quelle: </w:t>
      </w:r>
      <w:r>
        <w:t>https://mcp.opencaselaw.ch/entscheid/bger_4A_102_2007</w:t>
      </w:r>
    </w:p>
    <w:p>
      <w:r>
        <w:t>FR: TF 4A 102/2007 du 9 juillet 2007</w:t>
      </w:r>
    </w:p>
    <w:p>
      <w:r>
        <w:t>IT: TF 4A 102/2007 del 9 luglio 2007</w:t>
      </w:r>
    </w:p>
    <w:p>
      <w:pPr>
        <w:pStyle w:val="Heading2"/>
      </w:pPr>
      <w:r>
        <w:t>Regeste</w:t>
      </w:r>
    </w:p>
    <w:p>
      <w:r>
        <w:t>Innominatvertrag; Outsourcingvertrag | Vertragsrecht</w:t>
      </w:r>
    </w:p>
    <w:p>
      <w:pPr>
        <w:pStyle w:val="Heading2"/>
      </w:pPr>
      <w:r>
        <w:t>Erwägungen</w:t>
      </w:r>
    </w:p>
    <w:p>
      <w:r>
        <w:rPr>
          <w:b/>
        </w:rPr>
        <w:t>E. 1</w:t>
      </w:r>
    </w:p>
    <w:p>
      <w:r>
        <w:t>Das Urteil des Handelsgerichts des Kantons Zürich vom 15. März 2007 sei aufzuheben;</w:t>
      </w:r>
    </w:p>
    <w:p>
      <w:r>
        <w:rPr>
          <w:b/>
        </w:rPr>
        <w:t>E. 2</w:t>
      </w:r>
    </w:p>
    <w:p>
      <w:r>
        <w:t>Das Bundesgesetz über das Bundesgericht vom 17. Juni 2005 (BGG; SR 173.110) ist am 1. Januar 2007 in Kraft getreten (AS 2006 1205, 1243). Da der angefochtene Entscheid am 15. März 2007 ergangen ist, richtet sich das Verfahren nach dem BGG ( Art. 132 Abs. 1 BGG ).</w:t>
      </w:r>
    </w:p>
    <w:p>
      <w:r>
        <w:rPr>
          <w:b/>
        </w:rPr>
        <w:t>E. 3</w:t>
      </w:r>
    </w:p>
    <w:p>
      <w:r>
        <w:t>Das Bundesgericht prüft von Amtes wegen und mit freier Kognition, ob ein Rechtsmittel zulässig ist ( BGE 132 III 291 E. 1 S. 292).</w:t>
      </w:r>
    </w:p>
    <w:p>
      <w:r>
        <w:rPr>
          <w:b/>
        </w:rPr>
        <w:t>E. 3.1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132 III 186 E. 1.2 S. 188; 130 III 136 E. 1.2 S. 139; 125 III 412 E. 1b S. 414 mit Hinweisen; Urteil 4C.407/2006 vom 22. Januar 2007 E. 3.1; 4C.267/2006 vom 13. November 2006 E. 2.1; 4C.284/2005 vom 20. November 2006 E. 1.1).</w:t>
      </w:r>
    </w:p>
    <w:p>
      <w:r>
        <w:rPr>
          <w:b/>
        </w:rPr>
        <w:t>E. 3.2</w:t>
      </w:r>
    </w:p>
    <w:p>
      <w:r>
        <w:t>Vorliegend verlangt die Beschwerdeführerin lediglich, das Urteil des Handelsgerichts vom 15. März 2007 sei aufzuheben. Eventualiter sei das Verfahren an die Vorinstanz zurückzuweisen. Einen materiellen Antrag stellt sie nicht. Der Rückweisungsantrag wird bloss eventualiter erhoben. Dass das Bundesgericht im Falle der Gutheissung der Beschwerde nicht selbst in der Lage wäre, ein Urteil zu fällen, und die Streitsache an die Vorinstanz zurückweisen müsste, geht aus dem angefochtenen Entscheid nicht ohne weiteres hervor und wird auch in der Beschwerde in keiner Weise dargetan, wird doch nicht begründet, weshalb eventualiter das Verfahren an die Vorinstanz zurückzuweisen sei.</w:t>
      </w:r>
    </w:p>
    <w:p>
      <w:r>
        <w:rPr>
          <w:b/>
        </w:rPr>
        <w:t>E. 3.3</w:t>
      </w:r>
    </w:p>
    <w:p>
      <w:r>
        <w:t>Demnach ergibt sich, dass die Beschwerdeführerin keinen rechtsgenüglichen Antrag gestellt hat und demzufolge auf die Beschwerde nicht eingetreten werden kann.</w:t>
      </w:r>
    </w:p>
    <w:p>
      <w:r>
        <w:rPr>
          <w:b/>
        </w:rPr>
        <w:t>E. 4</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