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101/2011 vom 6. September 2011</w:t>
      </w:r>
    </w:p>
    <w:p>
      <w:r>
        <w:t>Bundesgericht, 2011-09-06, DE</w:t>
      </w:r>
    </w:p>
    <w:p>
      <w:r>
        <w:rPr>
          <w:b/>
        </w:rPr>
        <w:t xml:space="preserve">Quelle: </w:t>
      </w:r>
      <w:r>
        <w:t>https://mcp.opencaselaw.ch/entscheid/bger_4A_101_2011</w:t>
      </w:r>
    </w:p>
    <w:p>
      <w:r>
        <w:t>FR: TF 4A 101/2011 du 6 septembre 2011</w:t>
      </w:r>
    </w:p>
    <w:p>
      <w:r>
        <w:t>IT: TF 4A 101/2011 del 6 settembre 2011</w:t>
      </w:r>
    </w:p>
    <w:p>
      <w:pPr>
        <w:pStyle w:val="Heading2"/>
      </w:pPr>
      <w:r>
        <w:t>Regeste</w:t>
      </w:r>
    </w:p>
    <w:p>
      <w:r>
        <w:t>Kartellgesetz; vorsorgliche Massnahmen | Immaterialgüter-, Wettbewerbs- und Kartellrecht</w:t>
      </w:r>
    </w:p>
    <w:p>
      <w:pPr>
        <w:pStyle w:val="Heading2"/>
      </w:pPr>
      <w:r>
        <w:t>Erwägungen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Gegen solche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134 I 83 E. 3.1 S. 86 f. mit Hinweisen). Der Beschwerde ist nicht zu entnehmen, dass ein solcher Nachteil droht (zu den Begründungsanforderungen BGE 4A_178/2011 vom 28. Juni 2011 E. 1.1). Ob es sich allerdings um einen Zwischenentscheid nach Art. 93 Abs. 1 lit. a BGG handelt, ist fraglich, da nicht festgestellt ist, ob die Beschwerdeführerin ein ordentliches Verfahren eingeleitet hat.</w:t>
      </w:r>
    </w:p>
    <w:p>
      <w:r>
        <w:rPr>
          <w:b/>
        </w:rPr>
        <w:t>E. 1.2</w:t>
      </w:r>
    </w:p>
    <w:p>
      <w:r>
        <w:t>Bei einem Entscheid, der eine vorsorgliche Massnahme zum Gegenstand hat, kann vor Bundesgericht nur die Verletzung verfassungsmässiger Rechte geltend gemacht werden ( Art. 98 BGG ). Die Verletzung dieser Rechte kann das Bundesgericht nur insofern prüfen, als eine solche Rüge in der Beschwerde präzise vorgebracht und begründet worden ist ( Art. 106 Abs. 2 BGG ; BGE 134 I 83 E. 3.2 S. 88; 134 II 244 E. 2.2 S. 246;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 130 I 258 E. 1.3 S. 262).</w:t>
      </w:r>
    </w:p>
    <w:p>
      <w:r>
        <w:rPr>
          <w:b/>
        </w:rPr>
        <w:t>E. 2</w:t>
      </w:r>
    </w:p>
    <w:p>
      <w:r>
        <w:t>Die Beschwerdeführerin rügt, die Vorinstanz habe das Kartellgesetz willkürlich angewendet. Die angefochtene Verfügung stützt sich auf Art. 17 KG (AS 1996 551 f.), der mit Inkrafttreten der Schweizerischen Zivilprozessordnung (ZPO) aufgehoben worden ist. Diese Bestimmung lautete: "Zum Schutze von Ansprüchen, die aufgrund einer Wettbewerbsbeschränkung entstehen, kann das Gericht auf Antrag einer Partei die notwendigen vorsorglichen Massnahmen anordnen. Auf vorsorgliche Massnahmen sind die Artikel 28c-28f des Schweizerischen Zivilgesetzbuches sinngemäss anwendbar."</w:t>
      </w:r>
    </w:p>
    <w:p>
      <w:r>
        <w:rPr>
          <w:b/>
        </w:rPr>
        <w:t>E. 2.1</w:t>
      </w:r>
    </w:p>
    <w:p>
      <w:r>
        <w:t>Die Vorinstanz ist davon ausgegangen, es bestimme sich allein nach Zivilrecht, ob ein Vertrag wirksam gekündigt worden sei, was hier zutreffe, da die Kündigung nach dem VW-Servicepartnervertrag gültig erfolgt sei. Dem Begehren der Beschwerdeführerin fehle daher die Anspruchsgrundlage, da kein vertraglicher Anspruch mehr bestehe, nachdem die vertragliche Grundlage entfallen sei. Ob der Vertrag kartellrechtskonform gewesen sei oder nicht, berühre die Wirksamkeit der Vertragsauflösung nicht und die Voraussetzungen einer richterlichen Anordnung nach Art. 13 lit. b KG seien nicht zu prüfen, da die Klägerin ein entsprechendes Begehren nicht gestellt habe.</w:t>
      </w:r>
    </w:p>
    <w:p>
      <w:r>
        <w:rPr>
          <w:b/>
        </w:rPr>
        <w:t>E. 2.2</w:t>
      </w:r>
    </w:p>
    <w:p>
      <w:r>
        <w:t>Die Beschwerdeführerin rügt namentlich, die Vorinstanz habe das Willkürverbot verletzt mit der Annahme, die Kündigung des Vertrags sei wirksam erfolgt. Sie hält dafür, die Bestimmung im Servicepartnervertrag über die Kündigung widerspreche Art. 5 und 6 KG sowie den hierzu erlassenen Ausführungserlassen der Kfz-Bekanntmachung sowie der Kfz-Erläuterungen der Wettbewerbskommission (WEKO). Da der gekündigten Partei danach ein klares Recht auf Begründung zustehe und bei fehlender Begründung eine Wettbewerbsbeschränkung im Sinne von Art. 5 KG anzunehmen sei, hätte die Vorinstanz die Kündigung als Verstoss gegen das Kartellgesetz und damit als nichtig im Sinne von Art. 20 OR ansehen müssen.</w:t>
      </w:r>
    </w:p>
    <w:p>
      <w:r>
        <w:rPr>
          <w:b/>
        </w:rPr>
        <w:t>E. 2.3</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 Dies verkennt die Beschwerdeführerin, wenn sie im Wesentlichen rügt, die Vorinstanz habe verkannt, dass auch der Verstoss gegen das Kartellgesetz zur Ungültigkeit der Kündigung führen könne. Denn wenn ihr grundsätzlich darin beizupflichten ist, dass der Verstoss gegen das Kartellgesetz den Vertrag insgesamt oder teilweise nichtig machen kann ( BGE 134 III 438 E. 2 S. 441 ff.), so ist der angefochtene Entscheid dennoch im Ergebnis vertretbar. Die Beschwerdeführerin beruft sich auf die Bekanntmachungen der WEKO, welche eine schriftliche Begründung der Kündigung verlangen. Ein Formerfordernis bedarf indes einer gesetzlichen Anordnung - mindestens ist es nicht willkürlich, für die Formbedürftigkeit einer Kündigung eine formelle gesetzliche Grundlage zu verlangen und eine blosse Bekanntmachung einer Verwaltungsbehörde nicht genügen zu lassen. Die Vorinstanz hat daher das Kartellgesetz im Ergebnis nicht willkürlich angewendet, wenn sie verneinte, dass die Kündigung schon allein deshalb nichtig sei, weil sie nicht schriftlich und begründet erfolgt ist.</w:t>
      </w:r>
    </w:p>
    <w:p>
      <w:r>
        <w:rPr>
          <w:b/>
        </w:rPr>
        <w:t>E. 2.4</w:t>
      </w:r>
    </w:p>
    <w:p>
      <w:r>
        <w:t>Dass die Beschwerdeführerin in ihrem Massnahmegesuch materielle Gründe für die behauptete Nichtigkeit der Kündigung des Servicepartnervertrags angeführt hätte, behauptet sie nicht. Soweit sie sich sinngemäss wiederum darauf beruft, die Beschwerdegegnerin hätte mit ihr (oder ihrer konzernmässig verbundenen AX.________ AG) einen neuen Vertrag abschliessen müssen, ist nicht dargetan, dass die Vorinstanz in Verletzung verfassungsmässiger Rechte angenommen hätte, ein entsprechendes Begehren fehle. Soweit die Beschwerdeführerin schliesslich rügt, die Vorinstanz habe übertriebene Anforderungen an die Substanziierungspflicht gestellt und die Verfahrensdauer sei zu lang gewesen, fehlt jede Begründung darüber, was sie aus diesen Rügen ableiten will ( Art. 42 BGG ).</w:t>
      </w:r>
    </w:p>
    <w:p>
      <w:r>
        <w:rPr>
          <w:b/>
        </w:rPr>
        <w:t>E. 3</w:t>
      </w:r>
    </w:p>
    <w:p>
      <w:r>
        <w:t>Die Beschwerde ist als unbegründet abzuweisen, soweit darauf eingetreten werden kann. Die Gerichtskosten sind der Beschwerdeführerin zu auferlegen ( Art. 66 Abs. 1 BGG ); sie hat der anwaltlich vertretenen Beschwerdegegnerin überdies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