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4A.6/2006 vom 11. April 2006</w:t>
      </w:r>
    </w:p>
    <w:p>
      <w:r>
        <w:t>Bundesgericht, 2006-04-11, DE</w:t>
      </w:r>
    </w:p>
    <w:p>
      <w:r>
        <w:rPr>
          <w:b/>
        </w:rPr>
        <w:t xml:space="preserve">Quelle: </w:t>
      </w:r>
      <w:r>
        <w:t>https://mcp.opencaselaw.ch/entscheid/bger_4A.6_2006</w:t>
      </w:r>
    </w:p>
    <w:p>
      <w:r>
        <w:t>FR: TF 4A.6/2006 du 11 avril 2006</w:t>
      </w:r>
    </w:p>
    <w:p>
      <w:r>
        <w:t>IT: TF 4A.6/2006 del 11 aprile 2006</w:t>
      </w:r>
    </w:p>
    <w:p>
      <w:pPr>
        <w:pStyle w:val="Heading2"/>
      </w:pPr>
      <w:r>
        <w:t>Erwägungen</w:t>
      </w:r>
    </w:p>
    <w:p>
      <w:r>
        <w:rPr>
          <w:b/>
        </w:rPr>
        <w:t>E. 1</w:t>
      </w:r>
    </w:p>
    <w:p>
      <w:r>
        <w:t>Die Verwaltungsgerichtsbeschwerde gegen den angefochtenen Entscheid der Rekurskommission ist gemäss Art. 98 lit. e OG zulässig, da eine Ausnahme nach Art. 99 ff. OG nicht vorliegt. Die 30-tätige Beschwerdefrist gemäss Art. 106 OG ist gewahrt, sodass auf die Beschwerde einzutreten ist.</w:t>
      </w:r>
    </w:p>
    <w:p>
      <w:r>
        <w:rPr>
          <w:b/>
        </w:rPr>
        <w:t>E. 1.1</w:t>
      </w:r>
    </w:p>
    <w:p>
      <w:r>
        <w:t>Da es sich bei der Rekurskommission für geistiges Eigentum um eine richterliche Vorinstanz handelt, bindet deren Feststellung des Sachverhalts gemäss Art. 105 Abs. 2 OG das Bundesgericht, sofern sie nicht offensichtlich unrichtig, unvollständig oder unter Verletzung wesentlicher Verfahrensvorschriften erfolgt ist ( BGE 128 III 454 E. 1 mit Verweisen).</w:t>
      </w:r>
    </w:p>
    <w:p>
      <w:r>
        <w:rPr>
          <w:b/>
        </w:rPr>
        <w:t>E. 1.2</w:t>
      </w:r>
    </w:p>
    <w:p>
      <w:r>
        <w:t>Die Vorinstanz hat aus den vom Beschwerdeführer eingereichten Unterlagen geschlossen, dass eine Übung unter Patentanwälten nicht nachgewiesen sei, wonach "nicht einzahlen" als Verzicht auf das Schutzrecht aufgefasst werde. Sie hat insofern insbesondere erwogen, den meisten Gebührenerinnerungen sei zu entnehmen, dass der Vermerk "nicht einzahlen" als unklar empfunden worden sei, weshalb sie mit klarstellenden Bemerkungen versehen zurückgesandt worden seien; nur in Bezug auf drei Standard-Gebührenerinnerungen habe der Vertreter des Beschwerdeführers dem IGE aufgrund des Vermerks "nicht einzahlen" den Verzicht erklärt, während der Vertreter auf eine Mehrzahl von Vermerken "nicht einzahlen" selber nicht mit einem Verzicht reagiert habe.</w:t>
      </w:r>
    </w:p>
    <w:p>
      <w:r>
        <w:rPr>
          <w:b/>
        </w:rPr>
        <w:t>E. 1.3</w:t>
      </w:r>
    </w:p>
    <w:p>
      <w:r>
        <w:t>Die Beweiswürdigung der Vorinstanz ist im Sinne von Art. 105 Abs. 2 OG nicht zu beanstanden, weshalb von deren verbindlichen Feststellung auszugehen ist, dass in Patentanwaltskreisen der Vermerk "nicht einzahlen" nicht bzw. nicht eindeutig mit Verzicht auf das Schutzrecht gleichgesetzt wird.</w:t>
      </w:r>
    </w:p>
    <w:p>
      <w:r>
        <w:rPr>
          <w:b/>
        </w:rPr>
        <w:t>E. 2</w:t>
      </w:r>
    </w:p>
    <w:p>
      <w:r>
        <w:t>Nach der bundesgerichtlichen Rechtsprechung finden die Art. 23 ff. OR im öffentlichen Recht keine direkte Anwendung; sie können jedoch als Ausdruck allgemeiner Rechtsgrundsätze insoweit anwendbar sein, als sich die Regelung auf dem Gebiet des öffentlichen Rechts als sachgerecht erweist ( BGE 102 Ib 115 E. 2 und 3; 98 V 255 E. 2 S. 257 f.; vgl. auch BGE 122 I 328 E. 7b S. 340; Urteil 1A.64/2005 vom 25. Mai 2005 E. 2.3.1). Dabei wird allerdings nur der Irrtum als beachtlich anerkannt, der nicht von der Person, an die sich der beanstandete Verwaltungsakt richtet, verschuldet worden ist ( BGE 102 Ib 115 E. 4c S. 122). Das Gesuch um Rückgängigmachung der vorgenommenen Verfügung ist sodann in analoger Anwendung von Art. 47 Abs. 2 PatG innert zweier Monate seit Kenntnis des Irrtum, spätestens aber innerhalb eines Jahres nach Abgabe der mit dem Willensmangel behafteten Erklärung über den Rückzug der Anmeldung oder den Verzicht auf das Patent zu stellen ( BGE 102 Ib 115 E. 2c/E 4c S. 122).</w:t>
      </w:r>
    </w:p>
    <w:p>
      <w:r>
        <w:rPr>
          <w:b/>
        </w:rPr>
        <w:t>E. 2.1</w:t>
      </w:r>
    </w:p>
    <w:p>
      <w:r>
        <w:t>Der Vertreter des Beschwerdeführers hat im vorliegenden Fall den Verzicht auf das Europäische Patent 0000 mit Wirkung für die Schweiz und Liechtenstein am 24. Februar 2003 erklärt, worauf das IGE ihm den Eingang der Verzichtserklärung und die Löschung des Patents mit Schreiben vom 26. Februar 2003 bestätigte. Das Gesuch um Wiedereinsetzung in den früheren Stand, mit dem der Vertreter des Beschwerdeführers sinngemäss die Wiedereintragung des gelöschten Patents verlangte, datiert vom 29. Februar 2004. Die absolute Jahresfrist war im Zeitpunkt des Gesuchs abgelaufen; der Vorinstanz kann nicht gefolgt werden, wenn sie die Jahresfrist erst mit der Entdeckung des Irrtums und nicht mit der Erklärung des Verzichts beginnen lassen will. Die Verwaltungsgerichtsbeschwerde ist schon aus diesem Grund als unbegründet abzuweisen.</w:t>
      </w:r>
    </w:p>
    <w:p>
      <w:r>
        <w:rPr>
          <w:b/>
        </w:rPr>
        <w:t>E. 2.2</w:t>
      </w:r>
    </w:p>
    <w:p>
      <w:r>
        <w:t>Der Beschwerdeführer beanstandet jedoch überdies zu Unrecht, dass die Vorinstanz seinen Irrtum nicht als entschuldbar anerkannt hat. Der Ausdruck "nicht einzahlen" hat im allgemeinen Sprachgebrauch die Bedeutung, es sei die Zahlung zu unterlassen. Nachdem dem Beschwerdeführer bzw. dessen Vertreter der Nachweis nicht gelungen ist, dass diesem Ausdruck in Patentanwaltskreisen die davon abweichende Bedeutung zukommt, es sei der Verzicht auf das Schutzrecht zu erklären, wäre dem Patentvertreter oblegen, entweder näher zu prüfen, ob der Patentinhaber bzw. der Korrespondenzanwalt die Weisung abgeben wollte, er solle den Verzicht erklären, oder ob er sich mit der Unterlassung der Zahlung begnügen wolle. Dass die Bezahlung der Jahresgebühren durch den Patentinhaber selbst oder durch eine Drittperson früher nicht üblich war, vermag den Irrtum des Vertreters ebenso wenig zu entschuldigen wie das Anliegen, die Akte nicht weiterhin führen zu müssen.</w:t>
      </w:r>
    </w:p>
    <w:p>
      <w:r>
        <w:rPr>
          <w:b/>
        </w:rPr>
        <w:t>E. 3</w:t>
      </w:r>
    </w:p>
    <w:p>
      <w:r>
        <w:t>Die Verwaltungsgerichtsbeschwerde ist als unbegründet abzuweisen. Der Beschwerdeführer hat bei diesem Verfahrensausgang die Gerichtsgebühr zu bezahlen ( Art. 156 Abs. 1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