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4A.10/2006 vom 13. Juni 2006</w:t>
      </w:r>
    </w:p>
    <w:p>
      <w:r>
        <w:t>Bundesgericht, 2006-06-13, DE</w:t>
      </w:r>
    </w:p>
    <w:p>
      <w:r>
        <w:rPr>
          <w:b/>
        </w:rPr>
        <w:t xml:space="preserve">Quelle: </w:t>
      </w:r>
      <w:r>
        <w:t>https://mcp.opencaselaw.ch/entscheid/bger_4A.10_2006</w:t>
      </w:r>
    </w:p>
    <w:p>
      <w:r>
        <w:t>FR: TF 4A.10/2006 du 13 juin 2006</w:t>
      </w:r>
    </w:p>
    <w:p>
      <w:r>
        <w:t>IT: TF 4A.10/2006 del 13 giugno 2006</w:t>
      </w:r>
    </w:p>
    <w:p>
      <w:pPr>
        <w:pStyle w:val="Heading2"/>
      </w:pPr>
      <w:r>
        <w:t>Erwägungen</w:t>
      </w:r>
    </w:p>
    <w:p>
      <w:r>
        <w:rPr>
          <w:b/>
        </w:rPr>
        <w:t>E. 1</w:t>
      </w:r>
    </w:p>
    <w:p>
      <w:r>
        <w:t>Die Verwaltungsgerichtsbeschwerde gegen den Entscheid der Rekurskommission ist gemäss Art. 98 lit. e OG zulässig, da eine Ausnahme nach Art. 99 ff. OG nicht vorliegt. Die 30-tägige Beschwerdefrist gemäss Art. 106 OG ist gewahrt, so dass auf die Beschwerde grundsätzlich einzutreten ist.</w:t>
      </w:r>
    </w:p>
    <w:p>
      <w:r>
        <w:rPr>
          <w:b/>
        </w:rPr>
        <w:t>E. 1.1</w:t>
      </w:r>
    </w:p>
    <w:p>
      <w:r>
        <w:t>Nach Art. 108 Abs. 2 OG hat die Verwaltungsgerichtsbeschwerde unter anderem die Begründung zu enthalten. Auch wenn daran keine strengen Anforderungen gestellt werden, muss die Begründung doch eine sachbezogene Auseinandersetzung mit dem angefochtenen Entscheid enthalten und insbesondere erkennen lassen, in welchen Punkten und weshalb der angefochtene Entscheid beanstandet wird. Einzelne Verweise auf frühere Eingaben sind im Unterschied zu anderen Rechtsmitteln zulässig ( BGE 130 I 312 E.1.3.1; 113 II 287 E. 1).</w:t>
      </w:r>
    </w:p>
    <w:p>
      <w:r>
        <w:rPr>
          <w:b/>
        </w:rPr>
        <w:t>E. 1.2</w:t>
      </w:r>
    </w:p>
    <w:p>
      <w:r>
        <w:t>Da es sich bei der Rekurskommission für geistiges Eigentum um eine richterliche Vorinstanz handelt, bindet deren Feststellung des Sachverhalts gemäss Art. 105 Abs. 2 OG das Bundesgericht, sofern sie nicht offensichtlich unrichtig, unvollständig oder unter Verletzung wesentlicher Verfahrensvorschriften erfolgt ist ( BGE 128 III 454 E. 1 S. 456 f. mit Verweisen). Dass derartige Ausnahmen vorliegen sollen, muss in der Begründung der Beschwerde selbst aufgezeigt werden. Denn offensichtliche Mängel im Sinne von Art.105 Abs. 2 OG ergeben sich nicht schon aus allfälligen gegenteiligen Behauptungen in früheren Eingaben. Eine Ergänzung des Sachverhalts mit tatsächlichen Vorbringen aus früheren Rechtsschriften aufgrund blosser Verweise auf frühere Eingaben ist daher ausgeschlossen.</w:t>
      </w:r>
    </w:p>
    <w:p>
      <w:r>
        <w:rPr>
          <w:b/>
        </w:rPr>
        <w:t>E. 2</w:t>
      </w:r>
    </w:p>
    <w:p>
      <w:r>
        <w:t>Nach den Feststellungen der Vorinstanz wurde die 12. Jahresgebühr auch nach Mahnung nicht fristgerecht bezahlt, was die Löschung des Patents zur Folge hatte ( Art. 41 PatG , Art. 18b Abs. 1 und Art. 18d PatV ). Diese wurde der schweizerischen Vertreterin der Patentinhaberin vom IGE am 30. April 2004 angezeigt ( Art. 18b Abs. 2 PatV ). Die Löschungsanzeige vom 30. April 2004 ging der schweizerischen Vertreterin der Beschwerdeführerin am 3. Mai 2004 zu. Diese leitete die Löschungsanzeige mit Begleitbrief vom 4. Mai 2004 an die irische Hauptvertreterin weiter, wo sie verarbeitet wurde. Die Anzeige enthielt den Hinweis, dass die Löschung rückgängig gemacht werden könne, wenn innert zwei Monaten seit der Zustellung dieser Verfügung ein schriftlicher Weiterbehandlungsantrag gestellt sowie die versäumte Zahlung der letzten Jahresgebühr (CHF 420.--) und des Zuschlags (CHF 200.--) nachgeholt und die Weiterbehandlungsgebühr (CHF 200.--) entrichtet werde. Es ist unbestritten, dass bis zum Ablauf dieser Frist kein Weiterbehandlungsgesuch gestellt wurde. Die Beschwerdeführerin verlangt indes Wiedereinsetzung.</w:t>
      </w:r>
    </w:p>
    <w:p>
      <w:r>
        <w:rPr>
          <w:b/>
        </w:rPr>
        <w:t>E. 2.1</w:t>
      </w:r>
    </w:p>
    <w:p>
      <w:r>
        <w:t>Vermag der Patentinhaber glaubhaft zu machen, dass er ohne sein Verschulden an der Einhaltung einer durch das Gesetz oder die Vollziehungsverordnung vorgeschriebenen oder vom Institut angesetzten Frist verhindert wurde, so ist ihm auf sein Gesuch hin Wiedereinsetzung in den früheren Stand zu gewähren ( Art. 47 Abs. 1 PatG ).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 Art. 47 Abs. 2 PatG ). Das Verschulden einer Hilfsperson ist dabei nach konstanter Rechtsprechung dem Patentinhaber anzurechnen, wobei - entsprechend der strengen Praxis zu Art. 35 OG - stets zu prüfen ist, ob dem Geschäftsherrn eine Verletzung seiner Pflichten vorgeworfen werden könnte, wenn er selbst gehandelt hätte ( BGE 108 II 156 E. 1a S. 159). Dabei ist auch ein einmaliges Verschulden einer sonst zuverlässigen Hilfsperson dem Patentinhaber zuzurechnen ( BGE 94 I 248 E. 2b S. 251 mit Verweisen).</w:t>
      </w:r>
    </w:p>
    <w:p>
      <w:r>
        <w:rPr>
          <w:b/>
        </w:rPr>
        <w:t>E. 2.2</w:t>
      </w:r>
    </w:p>
    <w:p>
      <w:r>
        <w:t>Nach den Feststellungen der Vorinstanz ist die Löschungsanzeige von der irischen Hauptvertreterin der Beschwerdeführerin anfangs Mai 2004 verarbeitet worden. Mit der amtlichen Löschungsanzeige wurden der Beschwerdeführerin bzw. ihren Vertretern alle Angaben vermittelt, die ihr erlaubten zu erkennen, dass die Gebühr nicht bezahlt war und die Nichtzahlung möglicherweise auf einem Irrtum beruhte. Damit ist das Hindernis nach konstanter Praxis entfallen (Urteil 4A.5/2002 vom 22. Januar 2003 E. 3 publ. in sic! 5/2003 S. 448). Als die Beschwerdeführerin im Oktober 2004 das Gesuch um Wiedereinsetzung stellte, war die zweimonatige Frist gemäss Art. 47 Abs. 2 PatG daher selbst dann abgelaufen, wenn im Sinne der Beschwerdeführerin der Zugang der Mitteilung an die Hauptvertreterin als fristauslösend angesehen würde. Da die Frist für das Gesuch um Wiedereinsetzung in jedem Fall abgelaufen ist, kann offen bleiben, ob entgegen dem Zweck der Registrierung eines schweizerischen Vertreters die Mitteilung an einen ausländischen als massgebend anzusehen wäre, wie die Beschwerdeführerin vorbringt.</w:t>
      </w:r>
    </w:p>
    <w:p>
      <w:r>
        <w:rPr>
          <w:b/>
        </w:rPr>
        <w:t>E. 2.3</w:t>
      </w:r>
    </w:p>
    <w:p>
      <w:r>
        <w:t>Ein entschuldbarer Fehler ist, wie die Vorinstanz zutreffend darlegt, nicht glaubhaft gemacht. Wie die Beschwerdeführerin selbst anerkennt, erhielt sie bzw. ihre Vertreterin vom IGE mehrere Mitteilungen, mit denen sie auf die fehlende Bezahlung der Jahresgebühr hingewiesen wurde. Spätestens mit der Löschungsanzeige hätte ihr bewusst werden müssen, dass die Jahresgebühr nicht bezahlt war. Dass ihre (ausländische Haupt-) Vertreterin eine falsche Eingabe in ihre Datenbank gemacht hatte, welche sie daran hinderte, den Irrtum zu erkennen, den sie aufgrund der Mitteilungen hätte entdecken können, kann nicht als entschuldbar anerkannt werden. Es obliegt vielmehr dem Patentinhaber bzw. dessen Vertreter, die Bezahlung der Jahresgebühren so zu organisieren, dass allfällige Manipulations- oder Computereingabe-Fehler, welche nicht grundsätzlich ausgeschlossen werden können, spätestens mit der Mitteilung der Löschungsanzeige entdeckt werden.</w:t>
      </w:r>
    </w:p>
    <w:p>
      <w:r>
        <w:rPr>
          <w:b/>
        </w:rPr>
        <w:t>E. 3</w:t>
      </w:r>
    </w:p>
    <w:p>
      <w:r>
        <w:t>Die Verwaltungsgerichtsbeschwerde ist als unbegründet abzuweisen. Die Gerichtsgebühr ist bei diesem Verfahrensausgang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