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2P.87/2001 vom 28. März 2003</w:t>
      </w:r>
    </w:p>
    <w:p>
      <w:r>
        <w:t>Bundesgericht, 2003-03-28, DE</w:t>
      </w:r>
    </w:p>
    <w:p>
      <w:r>
        <w:rPr>
          <w:b/>
        </w:rPr>
        <w:t xml:space="preserve">Quelle: </w:t>
      </w:r>
      <w:r>
        <w:t>https://mcp.opencaselaw.ch/entscheid/bger_2P.87_2001</w:t>
      </w:r>
    </w:p>
    <w:p>
      <w:r>
        <w:t>FR: TF 2P.87/2001 du 28 mars 2003</w:t>
      </w:r>
    </w:p>
    <w:p>
      <w:r>
        <w:t>IT: TF 2P.87/2001 del 28 marzo 2003</w:t>
      </w:r>
    </w:p>
    <w:p>
      <w:pPr>
        <w:pStyle w:val="Heading2"/>
      </w:pPr>
      <w:r>
        <w:t>Erwägungen</w:t>
      </w:r>
    </w:p>
    <w:p>
      <w:r>
        <w:rPr>
          <w:b/>
        </w:rPr>
        <w:t>E. 1.1</w:t>
      </w:r>
    </w:p>
    <w:p>
      <w:r>
        <w:t>Im Hinblick auf die kantonalen Beihilfen handelt es sich beim angefochtenen Urteil um einen kantonal letztinstanzlichen Entscheid in Anwendung von kantonalem Recht, gegen den einzig die staatsrechtliche Beschwerde beim Bundesgericht nach Art. 84 ff. OG offen steht. Das Urteil des Eidgenössischen Versicherungsgerichts äussert sich denn auch nicht zu den kantonalen Beihilfen. Auf die frist- und formgerecht eingereichte Beschwerde ist daher grundsätzlich einzutreten.</w:t>
      </w:r>
    </w:p>
    <w:p>
      <w:r>
        <w:rPr>
          <w:b/>
        </w:rPr>
        <w:t>E. 1.2</w:t>
      </w:r>
    </w:p>
    <w:p>
      <w:r>
        <w:t>Die staatsrechtliche Beschwerde ist - von hier nicht zutreffenden Ausnahmen (vgl. BGE 124 I 327 E. 4 S. 332 ff.) abgesehen - kassatorischer Natur ( BGE 127 II 1 E. 2c S. 5 mit Hinweis). Soweit der Beschwerdeführer mehr verlangt, als das angefochtene Urteil aufzuheben, kann darauf daher nicht eingetreten werden.</w:t>
      </w:r>
    </w:p>
    <w:p>
      <w:r>
        <w:rPr>
          <w:b/>
        </w:rPr>
        <w:t>E. 2.1</w:t>
      </w:r>
    </w:p>
    <w:p>
      <w:r>
        <w:t>Der früher aus Art. 4 aBV abgeleitete und heute in Art. 29 Abs. 2 BV ausdrücklich verankerte Anspruch auf rechtliches Gehör dient einerseits der Sachaufklärung und gibt anderseits dem Betroffenen als persönlichkeitsbezogenes Mitwirkungsrecht das Recht, bevor ein in seine Rechtsstellung eingreifender Entscheid getroffen wird, sich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Umfang des Anspruchs auf rechtliches Gehör wird zunächst durch die kantonalen Verfahrensvorschriften umschrieben. Unabhängig davon greifen die aus der Bundesverfassung folgenden Verfahrensregeln zur Sicherung des rechtlichen Gehörs. Der Beschwerdeführer beruft sich nicht auf kantonales Recht. Somit ist einzig - und zwar mit freier Kognition - zu prüfen, ob die aus Art. 29 Abs. 2 BV folgenden Regeln missachtet wurden ( BGE 126 I 15 E. 2a ; 124 I 241 E. 2; je mit Hinweisen).</w:t>
      </w:r>
    </w:p>
    <w:p>
      <w:r>
        <w:rPr>
          <w:b/>
        </w:rPr>
        <w:t>E. 2.2</w:t>
      </w:r>
    </w:p>
    <w:p>
      <w:r>
        <w:t>Nach der Rechtsprechung kann eine - nicht besonders schwerwiegende - Verletzung des rechtlichen Gehörs als geheilt gelten, wenn die betroffene Person die Möglichkeit erhält, sich vor der Beschwerdeinstanz zu äussern und wenn die Kognition der Beschwerdeinstanz gegenüber der Unterinstanz nicht eingeschränkt ist. Die Heilung des Verfahrensmangels ist ausgeschlossen, wenn es sich um eine besonders schwerwiegende Verletzung der Parteirechte handelt, und sie soll die Ausnahme bleiben ( BGE 127 V 431 E. 3d/aa S. 437 ; 126 I 68 E. 2 S. 72; je mit Hinweis).</w:t>
      </w:r>
    </w:p>
    <w:p>
      <w:r>
        <w:rPr>
          <w:b/>
        </w:rPr>
        <w:t>E. 3.1</w:t>
      </w:r>
    </w:p>
    <w:p>
      <w:r>
        <w:t>Wie das Eidgenössische Versicherungsgericht in seinem Urteil vom 6. Februar 2003 in der gleichen Angelegenheit für die (eidgenössischen) Ergänzungsleistungen dargelegt hat, gilt der Anspruch auf rechtliches Gehör auch im Verwaltungsverfahren im Zusammenhang mit Ergänzungsleistungen. Insbesondere trifft dies zu für Rückerstattungsverfügungen, die für die Empfänger von Ergänzungsleistungen ebenfalls oft eine harte finanzielle Massnahme darstellen. Dasselbe gilt analog auch für die Rückerstattung von kantonalen Beihilfen.</w:t>
      </w:r>
    </w:p>
    <w:p>
      <w:r>
        <w:rPr>
          <w:b/>
        </w:rPr>
        <w:t>E. 3.2</w:t>
      </w:r>
    </w:p>
    <w:p>
      <w:r>
        <w:t>Im vorliegenden Fall hatte zwar die Tochter des Beschwerdeführers Gelegenheit, im Rahmen der Überprüfung der Ergänzungsleistung bzw. der kantonalen Beihilfen ihres Vaters die Belege einzureichen. Dieser Vorgang gehört jedoch zum Abklärungsverfahren und erfolgt zu dessen Beginn. Wenn die Verwaltung nach Abschluss dieses Verfahrens zur Erkenntnis gelangt, für eine frühere Zeitspanne seien zu viel kantonale Beihilfen ausgerichtet worden und es bestehe eine Pflicht zur Rückerstattung, so hat sie der betroffenen Person die Möglichkeit zu geben, sich sowohl zum Grundsatz als auch zur Höhe der Rückerstattung zu äussern. Ohne Bekanntgabe der wesentlichen Elemente des voraussichtlichen Verfügungsinhaltes ist der betroffenen Person eine Stellungnahme ohnehin nicht möglich. Dem Beschwerdeführer wurde damit das rechtliche Gehör verweigert. Angesichts des erheblichen Eingriffs in seine Rechtsstellung und der Höhe der Rückerstattungssumme handelt es sich beim vorliegenden Fall sodann nicht mehr um eine leichte Verletzung des rechtlichen Gehörs, die im nachfolgenden Beschwerdeverfahren hätte geheilt werden können. Die Rechtslage im Hinblick auf die Frage des rechtlichen Gehörs stellt sich somit bei den kantonalen Beihilfen gleich dar wie bei den (eidgenössischen) Ergänzungsleistungen.</w:t>
      </w:r>
    </w:p>
    <w:p>
      <w:r>
        <w:rPr>
          <w:b/>
        </w:rPr>
        <w:t>E. 4</w:t>
      </w:r>
    </w:p>
    <w:p>
      <w:r>
        <w:t>Die staatsrechtliche Beschwerde ist gutzuheissen, soweit darauf eingetreten werden kann, und der angefochtene Entscheid ist auch betreffend die kantonalen Beihilfen aufzuheben.</w:t>
      </w:r>
    </w:p>
    <w:p>
      <w:r>
        <w:t>Obwohl Vermögensinteressen des unterliegenden Kantons im Spiel stehen, rechtfertigt es sich im vorliegenden Fall ausnahmsweise, von der Erhebung einer Gerichtsgebühr abzusehen (vgl. Art. 156 Abs. 1 und 2 OG ). Der Kanton Basel-Stadt hat jedoch den Beschwerdeführer für das bundesgerichtliche Verfahren angemessen zu entschädigen ( Art. 159 Abs. 1 und 2 OG ). Damit wird das Gesuch des Beschwerdeführers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