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2P.63/2004 vom 3. März 2005</w:t>
      </w:r>
    </w:p>
    <w:p>
      <w:r>
        <w:t>Bundesgericht, 2005-03-03, IT</w:t>
      </w:r>
    </w:p>
    <w:p>
      <w:r>
        <w:rPr>
          <w:b/>
        </w:rPr>
        <w:t xml:space="preserve">Quelle: </w:t>
      </w:r>
      <w:r>
        <w:t>https://mcp.opencaselaw.ch/entscheid/bger_2P.63_2004</w:t>
      </w:r>
    </w:p>
    <w:p>
      <w:r>
        <w:t>FR: TF 2P.63/2004 du 3 mars 2005</w:t>
      </w:r>
    </w:p>
    <w:p>
      <w:r>
        <w:t>IT: TF 2P.63/2004 del 3 marzo 2005</w:t>
      </w:r>
    </w:p>
    <w:p>
      <w:pPr>
        <w:pStyle w:val="Heading2"/>
      </w:pPr>
      <w:r>
        <w:t>Erwägungen</w:t>
      </w:r>
    </w:p>
    <w:p>
      <w:r>
        <w:rPr>
          <w:b/>
        </w:rPr>
        <w:t>E. 8.1</w:t>
      </w:r>
    </w:p>
    <w:p>
      <w:r>
        <w:t>I ricorrenti fanno valere che le autorità germaniche hanno appurato che il defunto aveva il proprio domicilio a Kürten e li hanno già imposti in base al diritto fiscale tedesco. Essi affermano quindi che nella misura in cui le autorità ticinesi non ne tenessero conto, contravverrebbero al divieto della doppia imposizione perseguito dalla Convenzione. La censura è infondata.</w:t>
      </w:r>
    </w:p>
    <w:p>
      <w:r>
        <w:rPr>
          <w:b/>
        </w:rPr>
        <w:t>E. 8.2</w:t>
      </w:r>
    </w:p>
    <w:p>
      <w:r>
        <w:t>Le norme di conflitto della Convenzione non possono escludere che le autorità degli Stati contraenti giungano a conclusioni opposte per quanto concerne il domicilio del defunto (Primi, op. cit., pag. 31 e segg.). Per dirimere simili divergenze, l'art. 12 della Convenzione istituisce una procedura amichevole di conciliazione, la quale può essere avviata dal contribuente davanti all'autorità competente, indipendentemente dai ricorsi previsti dal diritto interno (cpv. 1). In Svizzera, detta procedura va intrapresa dinanzi al direttore dell'Amministrazione federale delle contribuzioni o al suo rappresentante autorizzato (art. 3 cpv. 1 lett. e/bb della Convenzione). L'accordo concluso nell'ambito di questa procedura è vincolante per le tassazioni non ancora passate in giudicato e può anche comportare la revisione di quelle definitive (cfr. sentenza del 20 agosto 2000 della Camera di diritto tributario ticinese pubblicata in: RDAT I 2001 n. 19t. La stessa concerne la procedura amichevole prevista dall'art. 26 della Convenzione dell'11 agosto 1971 tra la Confederazione Svizzera e la Repubblica federale di Germania per evitare la doppia imposizione in materia di imposta sul reddito e sulla sostanza [RS 0.672.913.62], il cui testo è però identico a quello dell'art. 12 della Convenzione ora in esame).</w:t>
      </w:r>
    </w:p>
    <w:p>
      <w:r>
        <w:t>I ricorrenti erano consapevoli di questa possibilità. Durante l'udienza del 31 gennaio 2002 la procedura di reclamo era infatti stata sospesa d'intesa con l'autorità di tassazione, proprio per permettere loro di avviare la procedura amichevole di conciliazione. Sennonché, con scritto del 10 ottobre 2002, essi vi hanno rinunciato, ritenendo di poter dimostrare il domicilio germanico del defunto.</w:t>
      </w:r>
    </w:p>
    <w:p>
      <w:r>
        <w:rPr>
          <w:b/>
        </w:rPr>
        <w:t>E. 9</w:t>
      </w:r>
    </w:p>
    <w:p>
      <w:r>
        <w:t>I calcoli dell'imponibile e dell'imposta in quanto tali non sono contestati e non vanno pertanto riesaminati.</w:t>
      </w:r>
    </w:p>
    <w:p>
      <w:r>
        <w:rPr>
          <w:b/>
        </w:rPr>
        <w:t>E. 10</w:t>
      </w:r>
    </w:p>
    <w:p>
      <w:r>
        <w:t>Visto quanto precede, il gravame, sia esso trattato come ricorso di diritto pubblico o di diritto amministrativo, va pertanto respinto. Le spese seguono la soccombenza, con vincolo di solidarietà (art. 156 cpv. 1 e 7, 153 e 153a OG). Non si concedono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