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2P.47/2002 vom 24. Juni 2003</w:t>
      </w:r>
    </w:p>
    <w:p>
      <w:r>
        <w:t>Bundesgericht, 2003-06-24, FR</w:t>
      </w:r>
    </w:p>
    <w:p>
      <w:r>
        <w:rPr>
          <w:b/>
        </w:rPr>
        <w:t xml:space="preserve">Quelle: </w:t>
      </w:r>
      <w:r>
        <w:t>https://mcp.opencaselaw.ch/entscheid/bger_2P.47_2002</w:t>
      </w:r>
    </w:p>
    <w:p>
      <w:r>
        <w:t>FR: TF 2P.47/2002 du 24 juin 2003</w:t>
      </w:r>
    </w:p>
    <w:p>
      <w:r>
        <w:t>IT: TF 2P.47/2002 del 24 giugno 2003</w:t>
      </w:r>
    </w:p>
    <w:p>
      <w:pPr>
        <w:pStyle w:val="Heading2"/>
      </w:pPr>
      <w:r>
        <w:t>Regeste</w:t>
      </w:r>
    </w:p>
    <w:p>
      <w:r>
        <w:t>Santé &amp; sécurité sociale</w:t>
      </w:r>
    </w:p>
    <w:p>
      <w:pPr>
        <w:pStyle w:val="Heading2"/>
      </w:pPr>
      <w:r>
        <w:t>Erwägungen</w:t>
      </w:r>
    </w:p>
    <w:p>
      <w:r>
        <w:rPr>
          <w:b/>
        </w:rPr>
        <w:t>E. 1</w:t>
      </w:r>
    </w:p>
    <w:p>
      <w:r>
        <w:t>Les trois recours 2P.47/2002, 2P.48/2002 et 2P.49/2002 sont dirigés contre le même arrêté. Il convient de les joindre par économie de procédure et de statuer à leur égard dans un seul et même arrêt (cf. ATF 113 Ia 390 consid. 1; 111 II 270 consid. 1).</w:t>
      </w:r>
    </w:p>
    <w:p>
      <w:r>
        <w:rPr>
          <w:b/>
        </w:rPr>
        <w:t>E. 2</w:t>
      </w:r>
    </w:p>
    <w:p>
      <w:r>
        <w:t>Le Tribunal fédéral examine d'office et librement la recevabilité des recours qui lui sont soumis ( ATF 129 II 276 consid. 2 et les arrêts cités).</w:t>
      </w:r>
    </w:p>
    <w:p>
      <w:r>
        <w:rPr>
          <w:b/>
        </w:rPr>
        <w:t>E. 2.1</w:t>
      </w:r>
    </w:p>
    <w:p>
      <w:r>
        <w:t>Selon l' art. 84 al. 1 lettre a OJ , le recours de droit public est recevable contre un arrêté cantonal pour violation des droits constitutionnels du citoyen pour autant que la prétendue violation ne puisse pas être soumise par une action ou un autre moyen de droit quelconque à celui-ci ou à une autre autorité fédérale ( art. 84 al. 2 OJ ). En l'espèce, l'acte attaqué est un arrêté - et non une décision - adopté par une autorité cantonale et qui repose sur le droit cantonal, qui n'est pas du droit d'exécution d'une législation fédérale, mais du droit cantonal autonome exclusivement. Dès lors, ni la voie du recours administratif au Conseil fédéral (art. 72 lettre d PA), ni de celle du recours de droit administratif ( art. 97 ss et 128 ss OJ ) ne sont ouvertes. Seule subsiste celle, subsidiaire, du recours de droit public, pour autant que les conditions en soient remplies.</w:t>
      </w:r>
    </w:p>
    <w:p>
      <w:r>
        <w:rPr>
          <w:b/>
        </w:rPr>
        <w:t>E. 2.2</w:t>
      </w:r>
    </w:p>
    <w:p>
      <w:r>
        <w:t>Le canton de Vaud ne connaissait encore aucune procédure de contrôle abstrait des règlements et arrêtés du Conseil d'Etat, ni lors de l'adoption de l'arrêté, ni lors du dépôt du recours (cf. art. 4 et 29 de la loi vaudoise du 18 décembre 1989 sur la juridiction et la procédure administratives; LJPA/VD), la Constitution du 22 septembre 2002 n'étant pas encore en vigueur (voir art. 136 lettre a Cst./VD ), ni au demeurant sa législation d'application (cf. art. 175 et 177 Cst./VD ). Ainsi, les recours déposés directement devant le Tribunal fédéral respectent les dispositions de l' art. 86 al. 1 OJ (cf. ATF 124 I 11 consid. 1a, 159 consid. 1b; 119 Ia 321 consid. 2a; SJ 1998 489 consid. 1b), également applicable en cas de recours formé contre un arrêté cantonal de portée générale.</w:t>
      </w:r>
    </w:p>
    <w:p>
      <w:r>
        <w:rPr>
          <w:b/>
        </w:rPr>
        <w:t>E. 2.3</w:t>
      </w:r>
    </w:p>
    <w:p>
      <w:r>
        <w:t>La voie du recours de droit public est donc ouverte aux trois groupes de recourants, qui ont agi dans le délai de 30 jours dès la publication de l'arrêté attaqué ( art. 89 al. 1 OJ ; cf. également ATF 124 I 297 consid. 1 et les arrêts cités).</w:t>
      </w:r>
    </w:p>
    <w:p>
      <w:r>
        <w:rPr>
          <w:b/>
        </w:rPr>
        <w:t>E. 3.1</w:t>
      </w:r>
    </w:p>
    <w:p>
      <w:r>
        <w:t>L'arrêté attaqué prévoit que les contributions à la couverture des coûts d'investissement à la charge des résidents d'établissements médico-sociaux et de divisions pour malades chroniques d'hôpitaux et de centres (divisions C) d'intérêt public sont déterminées d'après un prix d'investissement par journée, calculé, d'une part, sur la base des valeurs intrinsèques mobilière et immobilière de l'établissement (40%) et, d'autre part, de la participation financière de l'Etat à l'investissement de cet établissement (60%), le prix étant multiplié par le coefficient 1,3, puis classé dans six catégories de forfaits journaliers compte tenu que le forfait ne doit pas dépasser la participation versée par l'Etat. Les établissements sont classés en six catégories correspondant chacune à un forfait.</w:t>
      </w:r>
    </w:p>
    <w:p>
      <w:r>
        <w:rPr>
          <w:b/>
        </w:rPr>
        <w:t>E. 3.2</w:t>
      </w:r>
    </w:p>
    <w:p>
      <w:r>
        <w:t>Les recourants A se plaignent du caractère incontrôlable et arbitraire du calcul de la contribution aux coûts d'investissement, à laquelle ne correspondrait aucune prestation adaptée. Les recourants C invoquent une violation du principe d'égalité ( art. 8 Cst. ) et implicitement de l'interdiction de l'arbitraire ( art. 9 Cst. ). Le système mis en place par l'arrêté critiqué générerait pour les résidents des établissements reconnus d'intérêt public d'importantes inégalités de traitement, d'une part, en raison de la pénurie de lits et de leur mode d'attribution qui empêcheraient les résidents de choisir l'établissement dans lequel ils souhaiteraient résider, d'autre part, parce que les contributions journalières ne seraient pas fixées en fonction de la qualité des prestations offertes aux résidents. En revanche, ils ne critiquent pas le principe même d'une participation à leurs frais de logement. Aucun des recourants n'invoque la violation du principe de la légalité, ni ne se plaint qu'aucune procédure de décision, susceptible d'être attaquée judiciairement, n'ait été mise en place.</w:t>
      </w:r>
    </w:p>
    <w:p>
      <w:r>
        <w:rPr>
          <w:b/>
        </w:rPr>
        <w:t>E. 4.1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des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129 I 113 consid. 5.1; 127 I 185 consid. 5; 125 I 1 consid. 2b/aa et les références citées).</w:t>
      </w:r>
    </w:p>
    <w:p>
      <w:r>
        <w:rPr>
          <w:b/>
        </w:rPr>
        <w:t>E. 4.2</w:t>
      </w:r>
    </w:p>
    <w:p>
      <w:r>
        <w:t>Les recourants ne qualifient pas la contribution litigieuse de taxe ou de charge de préférence, ou encore d'impôt (notamment d'affectation). Ils se bornent à discuter de l'existence ou de l'absence d'une prestation correspondante. Comme le Tribunal fédéral l'a constaté dans son arrêt de ce jour 2P.236/2001 concernant le décret du 19 juin 2001 sur la contribution aux coûts d'investissement, le système mis en place par l'arrêté crée une relation triangulaire: (1) l'Etat subventionne les investissements des établissements médico-sociaux et des divisions C conformément à la loi vaudoise du 5 décembre 1978 sur la planification et le financement des établissements sanitaires d'intérêt public et des réseaux de soins (LPFES). Il applique, en pratique, deux systèmes différents selon qu'il s'agit d'établissements de forme commerciale ou d'établissements à but idéal. (2) Les établissements médico-sociaux logent leurs résidents en principe à un prix supposé nettement inférieur au coût réel. (3) L'Etat réclame aux résidents le remboursement des subventions versées aux établissements. Il obtient cette participation en partie seulement, dans la mesure où 80% des résidents bénéficient des régimes sociaux et où il prend lui-même en charge les frais de leur placement (dont une partie toutefois lui est remboursée par la Confédération et les communes; cf. Bulletin du Grand Conseil, session juin 2001, séance du 12 juin 2001 p. 1137). Il est manifeste que l'Etat ne fournit aux résidents aucune prestation directe, dont la contribution journalière serait la contrepartie. Celle-ci n'est d'ailleurs pas calculée en fonction de la valeur du logement des résidents, même si le premier critère retenu, soit la valeur intrinsèque immobilière selon l'arrêté, celle des bâtiments et du terrain selon l'art. 3 du décret sur la contribution aux coûts d'investissement, n'est pas sans relation avec le coût d'un logement et qu'un calcul forfaitaire ne peut être exclu. La relation paraît toutefois trop approximative en l'espèce, d'autant que l'arrêté a ajouté à ce critère celui de la valeur intrinsèque mobilière (art. 2 al. 1 lettre a de l'arrêté) qui ne figure pas à l'art. 3 du décret. En outre, le second critère, soit la participation financière à l'investissement versée par l'Etat à l'établissement, est sans aucune relation avec le coût du logement du résident, puisqu'elle repose exclusivement sur les relations entre l'établissement en cause et l'Etat, c'est-à-dire sur le montant de la subvention accordée. Cette participation financière de l'Etat varie selon le type d'établissements (en la forme commerciale ou idéale) et ne tient pas compte des fonds propres que pourraient avoir investis ces derniers. S'agissant des établissements en la forme commerciale, l'autorité intimée admet d'ailleurs qu'elle ignore les charges financières réelles qu'ils assument, ce mode de subventionnement étant forfaitaire. En outre, les tarifs sont fort différents selon les établissements, allant de 4 fr. à 29 fr. par jour, soit environ 120 fr. à 870 fr. par mois selon les établissements, sans qu'ils ne soient justifiés par des différences de qualité dans les logements offerts aux résidents. L'échelonnement par catégorie peut aboutir d'ailleurs à des résultats arbitraires (par exemple: avec un prix journalier retenu de 28 fr., la contribution s'élève à 570 fr. par mois; avec un prix de 29 fr., elle atteint 720 fr.). Même s'il n'est pas exclu de mettre à la charge des seuls résidents le coût de leur logement, la contribution litigieuse ne respecte pas le principe d'égalité de traitement et viole l'interdiction de l'arbitraire dans son calcul. Elle ne saurait être mesurée en fonction de la relation financière de l'établissement avec l'Etat, sans tenir aucun compte de la situation propre des résidents, même appréciée sommairement. Le degré "d'endettement" vis-à-vis de l'Etat de l'établissement dans lequel ils résident ne les concerne pas et ne garantit nullement la qualité de leur logement. Que le montant de la contribution soit influencé par la valeur intrinsèque du patrimoine immobilier de l'établissement, comme l'indique l'autorité intimée, ne suffit pas à corriger cette situation. Des modalités mieux adaptées sont d'autant plus nécessaires que l'autorité intimée admet que, telle que prévue, la contribution litigieuse réduirait un tiers des résidents financièrement indépendants à recourir aux régimes sociaux (soit environ 400 sur 1200; cf. Bulletin du Grand Conseil, session juin 2001, séance du 12 juin 2001 p. 1136). Par ailleurs, le système décrit dans l'arrêté crée des différences entre résidents que rien ne justifie. Même si l'on peut imaginer une certaine solidarité entre les résidents dans la prise en charge des coûts de leur logement, il est insoutenable de les rendre financièrement responsables, par le biais d'une contribution, des montants que l'établissement médico-social qui les héberge obtient à titre personnel de l'Etat.</w:t>
      </w:r>
    </w:p>
    <w:p>
      <w:r>
        <w:rPr>
          <w:b/>
        </w:rPr>
        <w:t>E. 4.3</w:t>
      </w:r>
    </w:p>
    <w:p>
      <w:r>
        <w:t>Dès lors, les griefs de violation du principe d'égalité et de la protection contre l'arbitraire soulevés par les recourants A et C sont fondés. Il est inutile d'examiner, au surplus, les arguments qu'ils entendent tirer de l'inégalité créée entre eux par la pénurie de lits dans les établissements médico-sociaux et de l'impossibilité de choisir l'établissement où ils veulent résider. De même il n'est dès lors pas nécessaire de se prononcer sur les arguments des recourants B.</w:t>
      </w:r>
    </w:p>
    <w:p>
      <w:r>
        <w:rPr>
          <w:b/>
        </w:rPr>
        <w:t>E. 5</w:t>
      </w:r>
    </w:p>
    <w:p>
      <w:r>
        <w:t>En tant qu'ils invoquent une violation du droit fédéral et du droit cantonal, les recourants A peuvent être renvoyés à l'arrêt de ce jour dans la cause 2A.236/2001 concernant le décret du 19 juin 2001 en matière de contribution aux coûts d'investissement. Leur motivation, bien que plus sommaire, est d'ailleurs identique. A cet égard, leurs griefs sont mal fondés dans la mesure où ils sont recevables.</w:t>
      </w:r>
    </w:p>
    <w:p>
      <w:r>
        <w:rPr>
          <w:b/>
        </w:rPr>
        <w:t>E. 6</w:t>
      </w:r>
    </w:p>
    <w:p>
      <w:r>
        <w:t>La suppression de l'art. 2 de l'arrêté prive les autres dispositions de toute portée. Il convient donc d'annuler l'arrêté dans sa totalité.</w:t>
      </w:r>
    </w:p>
    <w:p>
      <w:r>
        <w:rPr>
          <w:b/>
        </w:rPr>
        <w:t>E. 7</w:t>
      </w:r>
    </w:p>
    <w:p>
      <w:r>
        <w:t>Les recourants A se sont défendus eux-mêmes; ils n'ont donc pas droit à des dépens. Les recourants B et C, qui ont agi avec l'aide d'un mandataire, ont droit à une indemnité à titre de dépens ( art. 159 al. 1 et 2 OJ ). Succombant, l'autorité intimée dont l'intérêt pécuniaire est en cause, doit supporter les frais judiciaires ( art. 156 al. 2 OJ ). Par ailleurs, le fait que A.________, recourant du groupe A, n'ait pas la qualité pour agir (cf. arrêt de ce jour 2P.236/2001 concernant le décret du 19 juin 2001 en matière de contribution aux coûts d'investissement) n'influence pas, dans le cas d'espèce, la question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