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2P.43/2000 vom 26. Mai 2000</w:t>
      </w:r>
    </w:p>
    <w:p>
      <w:r>
        <w:t>Bundesgericht, 2000-05-26, DE</w:t>
      </w:r>
    </w:p>
    <w:p>
      <w:r>
        <w:rPr>
          <w:b/>
        </w:rPr>
        <w:t xml:space="preserve">Quelle: </w:t>
      </w:r>
      <w:r>
        <w:t>https://mcp.opencaselaw.ch/entscheid/bger_2P.43_2000</w:t>
      </w:r>
    </w:p>
    <w:p>
      <w:r>
        <w:t>FR: TF 2P.43/2000 du 26 mai 2000</w:t>
      </w:r>
    </w:p>
    <w:p>
      <w:r>
        <w:t>IT: TF 2P.43/2000 del 26 maggio 2000</w:t>
      </w:r>
    </w:p>
    <w:p>
      <w:pPr>
        <w:pStyle w:val="Heading2"/>
      </w:pPr>
      <w:r>
        <w:t>Regeste</w:t>
      </w:r>
    </w:p>
    <w:p>
      <w:r>
        <w:t>Öffentliche Finanzen &amp; Abgaberecht</w:t>
      </w:r>
    </w:p>
    <w:p>
      <w:pPr>
        <w:pStyle w:val="Heading2"/>
      </w:pPr>
      <w:r>
        <w:t>Erwägungen</w:t>
      </w:r>
    </w:p>
    <w:p>
      <w:r>
        <w:rPr>
          <w:b/>
        </w:rPr>
        <w:t>E. 1</w:t>
      </w:r>
    </w:p>
    <w:p>
      <w:r>
        <w:t>a) Gegen den kantonal letztinstanzlichen Endentscheid ist die staatsrechtliche Beschwerde zulässig, da kein anderes bundesrechtliches Rechtsmittel zur Verfügung steht (Art. 84 Abs. 2, 86 Abs. 1 und 87 OG). Das gilt insbesondere auch, soweit eine falsche Anwendung von Art. 84 des Bundesgesetzes vom 25. Juni 1982 über die berufliche Alters-, Hinterlassenen- und Invalidenvorsorge (BVG; SR 831. 40) gerügt wird; denn dabei handelt es sich um eine bundesrechtliche Grundsatzbestimmung, die bei der Ausgestaltung des kantonalen Steuerrechts zu berücksichtigen ist, aber nicht selber die Grundlage des angefochtenen Entscheids bildet ( BGE 116 Ia 264 E. 2 und 3; nicht publ. Urteil des Bundesgerichts vom 25. März 1997 i.S. R., E. 1a). Art. 72 Abs. 2 StHG in Verbindung mit Art. 11 Abs. 3 StHG ist noch nicht anwendbar ( BGE 123 II 588 E. 2d S. 592 f.). b) Die Beschwerdeführer beantragen nicht nur Aufhebung des angefochtenen Entscheids, sondern auch die Feststellung, dass ihnen 1996 keine steuerpflichtige Kapitalleistung angefallen sei. Auf dieses Begehren kann von vornherein insoweit nicht eingetreten werden, als es sich generell auf Kapitalleistungen bezieht; denn die erste, 1996 ausbezahlte Rate der Kapitalleistung von Fr. 2.________ ist unbestritten steuerbar und bildete auch nicht Gegenstand des angefochtenen Entscheids. Das Feststellungsbegehren könnte sich höchstens auf die beiden späteren Raten beziehen. Auch dann ist es aber angesichts der kassatorischen Natur der staatsrechtlichen Beschwerde ( BGE 124 I 327 E. 4a S. 332, mit Hinweisen) unzulässig.</w:t>
      </w:r>
    </w:p>
    <w:p>
      <w:r>
        <w:rPr>
          <w:b/>
        </w:rPr>
        <w:t>E. 2</w:t>
      </w:r>
    </w:p>
    <w:p>
      <w:r>
        <w:t>Aufl. , Muri 1999, S. 160 f.). Wird - wie vorliegend - nach der Aufgabe der Erwerbstätigkeit die Auszahlung von Altersleistungen aufgrund einer freiwilligen Vereinbarung zwischen der Vorsorgeeinrichtung und dem Versicherten aufgeschoben, so handelt es sich dabei im Ergebnis um eine neue, ausserberufliche Vermögensanlage, für welche Art. 84 BVG nicht anwendbar ist. Die Autonomie der Kassen nach Art. 49 BVG ändert daran nichts: Unter die Steuerbefreiung nach Art. 84 BVG fallen in Verbindung mit Art. 80 Abs. 2 BVG nur Leistungen, die ausschliesslich der beruflichen Vorsorge dienen. Wenn eine Kasse eine ausserberufliche Vorsorge anbietet (die von der überobligatorischen Versicherung nach Art. 49 BVG zu unterscheiden ist), so mag dies zwar mit dem Bundesgesetz über die berufliche Alters-, Hinterlassenen- und Invalidenvorsorge vereinbar und aufsichtsrechtlich nicht zu beanstanden sein, begründet aber keine Steuerbefreiung. f) Die Beschwerdeführer vergleichen den Aufschub der Kapitalleistung mit der Altersrente und rügen, es sei kein Grund ersichtlich, die beiden Sachverhalte bezüglich Fälligkeit unterschiedlich zu behandeln. Die Rente wird jedoch gemäss Art. 38 BVG in der Regel monatlich ausgerichtet. Die einzelne Monatsrente wird daher von Gesetzes wegen erst im betreffenden Auszahlungsmonat fällig und kann deshalb vorher gemäss Art. 84 BVG nicht besteuert werden. Es verhält sich diesbezüglich anders als bei Kapitalleistungen. Bezüglich der so genannten Zeitrenten, die eine ratenweise Auszahlung einer Kapitalleistung darstellen, hat das Verwaltungsgericht ausgeführt, es verhalte sich dabei gleich wie bei Kapitalzahlungen. Insoweit kann ihm keine Ungleichbehandlung vergleichbarer Sachverhalte vorgeworfen werden. Wie es sich bei einer aufgeschobenen Altersrente verhalten würde, steht vorliegend nicht zur Diskussion und ist daher nicht zu entscheiden. Die Aussage des Verwaltungsgerichts, ein solcher Tatbestand wäre völlig anders gelagert, ist deshalb nicht erheblich. g) Nach bundesgerichtlicher Praxis zu Art. 92 Ziff. 10 SchKG (bzw. Art. 92 Ziff. 13 aSchKG) gilt zwar die Barauszahlung einer Freizügigkeitsleistung erst als fällig im Sinne dieser Bestimmung, wenn der Vorsorgenehmer sie verlangt, nicht schon beim Eintritt des Freizügigkeitsfalles ( BGE 119 III 18 E. 3b/cc S. 21; 120 III 75 E. 1a S. 77; 121 III 31 E. 2b S. 33). Das ist jedoch eine Besonderheit der Freizügigkeitsleistungen und ergibt sich daraus, dass die Entstehung des Barauszahlungsanspruchs suspensiv bedingt ist durch das hinreichend begründete Auszahlungsbegehren (Art. 5 des Bundesgesetzes vom 17. Dezember 1993 über die Freizügigkeit in der beruflichen Alters-, Hinterlassenen- und Invalidenvorsorge; SR 831. 42); dieses ist daher nicht bloss eine Zahlungsaufforderung, sondern Voraussetzung dafür, dass die Barauszahlungspflicht überhaupt entsteht ( BGE 119 III 18 E. 3b und c S. 20 ff.; nicht publiziertes Urteil des Bundesgerichts vom 5. Dezember 1995 i.S. Konkursamt Dübendorf, E. 2b/cc). Wo hingegen von Gesetzes wegen die Auszahlung obligatorisch ist, entsteht der Anspruch auch betreibungsrechtlich mit dem Freizügigkeitsfall ( BGE 119 III 18 E. 3b/aa S. 20). Zudem kann der betreibungsrechtliche Fälligkeitsbegriff vom zivilrechtlichen abweichen (zit. Urteil vom 5. Dezember 1995, E. 2b/cc mit Hinweis auf Weber, Berner Kommentar, N 44 und 57 zu Art. 75 OR sowie Schraner, Zürcher Kommentar, N 61 f. zu Art. 75 OR ). Die erwähnte Praxis steht somit nicht entgegen, dass für Altersleistungen die Fälligkeit bei Eintritt des Vorsorgefalls angenommen wird.</w:t>
      </w:r>
    </w:p>
    <w:p>
      <w:r>
        <w:rPr>
          <w:b/>
        </w:rPr>
        <w:t>E. 3</w:t>
      </w:r>
    </w:p>
    <w:p>
      <w:r>
        <w:t>Die staatsrechtliche Beschwerde erweist sich damit als unbegründet, soweit darauf eingetreten werden kann. Bei diesem Ausgang des Verfahrens sind die Gerichtskosten den Beschwerdeführern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