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2P.39/2002 vom 28. Oktober 2002</w:t>
      </w:r>
    </w:p>
    <w:p>
      <w:r>
        <w:t>Bundesgericht, 2002-10-28, FR</w:t>
      </w:r>
    </w:p>
    <w:p>
      <w:r>
        <w:rPr>
          <w:b/>
        </w:rPr>
        <w:t xml:space="preserve">Quelle: </w:t>
      </w:r>
      <w:r>
        <w:t>https://mcp.opencaselaw.ch/entscheid/bger_2P.39_2002</w:t>
      </w:r>
    </w:p>
    <w:p>
      <w:r>
        <w:t>FR: TF 2P.39/2002 du 28 octobre 2002</w:t>
      </w:r>
    </w:p>
    <w:p>
      <w:r>
        <w:t>IT: TF 2P.39/2002 del 28 ottobre 2002</w:t>
      </w:r>
    </w:p>
    <w:p>
      <w:pPr>
        <w:pStyle w:val="Heading2"/>
      </w:pPr>
      <w:r>
        <w:t>Erwägungen</w:t>
      </w:r>
    </w:p>
    <w:p>
      <w:r>
        <w:rPr>
          <w:b/>
        </w:rPr>
        <w:t>E. 1</w:t>
      </w:r>
    </w:p>
    <w:p>
      <w:r>
        <w:t>Le Tribunal fédéral examine d'office et librement la recevabilité des recours qui lui sont soumis ( ATF 128 II 13 consid. 1a p. 16, 46 consid. 2a p. 47).</w:t>
      </w:r>
    </w:p>
    <w:p>
      <w:r>
        <w:rPr>
          <w:b/>
        </w:rPr>
        <w:t>E. 1.1</w:t>
      </w:r>
    </w:p>
    <w:p>
      <w:r>
        <w:t>Une commune peut se plaindre par la voie du recours de droit public d'une violation de son autonomie ( art. 189 al. 1 lettre b Cst. ), dans la mesure où elle est touchée par l'arrêt attaqué en tant que détentrice de la puissance publique, ce qui est le cas en l'espèce. Déterminer si, dans un domaine juridique particulier, la commune jouit effectivement d'une autonomie n'est pas une question de recevabilité, mais constitue l'objet d'une appréciation au fond ( ATF 128 I 3 consid. 1c p. 7; 124 I 223 consid. 1b p. 226 et les références). Les communes recourantes se plaignant en l'espèce de la violation de leur autonomie en matière de réglementation des taxis, le recours est recevable sous cet angle.</w:t>
      </w:r>
    </w:p>
    <w:p>
      <w:r>
        <w:rPr>
          <w:b/>
        </w:rPr>
        <w:t>E. 1.2</w:t>
      </w:r>
    </w:p>
    <w:p>
      <w:r>
        <w:t>Les intimés estiment que le recours est irrecevable parce que les communes recourantes ne se confondent pas avec l'autorité, - la Conférence des directeurs de polices -, qui a rendu la décision du 9 novembre 2000. Ils semblent en déduire implicitement que les recourantes ne sauraient être atteintes dans leur autonomie pour ce motif. Ils ne prétendent toutefois pas que l'arrondissement des communes qui ont adopté le règlement intercommunal et les autorités qu'il institue ont la personnalité morale. Par conséquent, même si les recourantes ont pris les décisions attaquées devant le Tribunal administratif par le biais d'autorités intercommunales au bénéfice d'une délégation de compétence et qu'ensuite elles-mêmes recourent devant le Tribunal fédéral, force est de constater que ce sont toujours les mêmes communes recourantes qui agissent. Le grief est donc mal fondé.</w:t>
      </w:r>
    </w:p>
    <w:p>
      <w:r>
        <w:t>Enfin, il importe peu que le mandataire des recourantes ne soit pas inscrit au tableau des avocats vaudois dès lors qu'il ne procède pas dans une affaire civile ou pénale soumise au monopole des avocats ( art. 29 OJ ). Au surplus, il a dûment justifié ses pouvoirs par procuration séparée de chacune des communes intéressées.</w:t>
      </w:r>
    </w:p>
    <w:p>
      <w:r>
        <w:rPr>
          <w:b/>
        </w:rPr>
        <w:t>E. 1.3</w:t>
      </w:r>
    </w:p>
    <w:p>
      <w:r>
        <w:t>Sous réserve d'exceptions non réalisées en l'espèce, le recours de droit public est de nature purement cassatoire ( ATF 128 III 50 consid. 1b p. 53; 126 II 377 consid. 8c p. 395; 125 II 86 consid. 5a p. 96 et la jurisprudence citée). Dans la mesure où les recourantes demandent autre chose que l'annulation de l'arrêt attaqué, soit la confirmation de la décision du 9 novembre 2000 et le renvoi au Tribunal administratif pour nouvelle décision, leurs conclusions sont irrecevables.</w:t>
      </w:r>
    </w:p>
    <w:p>
      <w:r>
        <w:rPr>
          <w:b/>
        </w:rPr>
        <w:t>E. 1.4</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 Le mémoire de recours, qui conclut à l'annulation de l'arrêt du Tribunal administratif du 3 janvier 2002, ne contient aucun motif à l'appui de l'annulation du chiffre I du dispositif de l'arrêt litigieux; il est par conséquent irrecevable sur ce point.</w:t>
      </w:r>
    </w:p>
    <w:p>
      <w:r>
        <w:rPr>
          <w:b/>
        </w:rPr>
        <w:t>E. 1.5</w:t>
      </w:r>
    </w:p>
    <w:p>
      <w:r>
        <w:t>Enfin, déposé en temps utile et dans les formes prescrites par la loi contre un arrêt pris en dernière instance cantonale et qui ne peut être attaqué que par la voie du recours de droit public, le présent recours remplit en principe les autres conditions de recevabilité des art. 84 ss OJ , de sorte que le Tribunal fédéral peut entrer en matière.</w:t>
      </w:r>
    </w:p>
    <w:p>
      <w:r>
        <w:rPr>
          <w:b/>
        </w:rPr>
        <w:t>E. 2.1</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124 I 223 consid. 2b p. 226 s. et les références citées). L'existence et l'étendue de l'autonomie communale dans une matière concrète sont déterminées essentiellement par la constitution et la législation cantonales, voire exceptionnellement par le droit cantonal non écrit et coutumier ( ATF 122 I 279 consid. 8b p. 290; 116 Ia 285 consid. 3a p. 287; 115 Ia 42 consid. 3 p. 44 et les arrêts cités).</w:t>
      </w:r>
    </w:p>
    <w:p>
      <w:r>
        <w:rPr>
          <w:b/>
        </w:rPr>
        <w:t>E. 2.2</w:t>
      </w:r>
    </w:p>
    <w:p>
      <w:r>
        <w:t>Selon l'art. 80 de la Constitution du 1er mars 1885 du canton de Vaud, l'existence des communes est reconnue et garantie (al. 1). Les communes sont subordonnées à l'Etat, avec lequel elles concourent au bien de la société (al. 2). Elles jouissent de toute l'indépendance compatible avec le bien de l'Etat, son unité et la bonne administration des communes elles-mêmes (al. 3). Dans le domaine de la circulation routière, l'art. 8 de la loi vaudoise du 25 novembre 1974 sur la circulation routière (LVCR) prévoit que les communes sont compétentes pour réglementer le service des taxis, l'administration du domaine public étant en outre une tâche propre des communes dont la gestion incombe aux municipalités (art. 2 al. 2 lettre c et 42 ch. 2 de la loi cantonale du 28 février 1956 sur les communes) dans les limites posées par les principes constitutionnels tels que la liberté économique garantie par l' art. 27 Cst. et l'égalité de traitement protégée par l' art. 8 Cst. (cf. arrêt du Tribunal fédéral 2P.77/2001 du 28 juin 2001 consid. 2a).</w:t>
      </w:r>
    </w:p>
    <w:p>
      <w:r>
        <w:rPr>
          <w:b/>
        </w:rPr>
        <w:t>E. 2.3</w:t>
      </w:r>
    </w:p>
    <w:p>
      <w:r>
        <w:t>Dans cette mesure, les communes recourantes peuvent exiger que l'autorité cantonale respecte les limites de leur compétence et qu'elle applique correctement les dispositions du droit fédéral, cantonal ou communal qui règlent la matière. Elles peuvent également, dans cette même mesure, se plaindre de ce que l'autorité cantonale a méconnu la portée d'un droit fondamental, le considérant à tort comme violé ( ATF 126 I 133 consid. 2 p. 136; 124 I 223 consid. 2b p. 227; 122 I 279 consid. 8c p. 291, 121 I 155 consid. 4 p. 159; 116 Ia 52 consid. 2 p. 54, 252 consid. 3b p. 255 et les arrêts cités). En revanche, dans un recours pour violation de son autonomie, une commune ne peut pas invoquer la violation des droits constitutionnels des citoyens ( ATF 114 Ia 80 consid. 2a p. 82 s.).</w:t>
      </w:r>
    </w:p>
    <w:p>
      <w:r>
        <w:rPr>
          <w:b/>
        </w:rPr>
        <w:t>E. 3</w:t>
      </w:r>
    </w:p>
    <w:p>
      <w:r>
        <w:t>Invoquant leur autonomie, les recourantes reprochent au Tribunal administratif de contraindre la Commission administrative à octroyer des autorisations de type A aux intimés, sous la seule réserve de vérifier qu'ils remplissent les conditions d'octroi d'une autorisation de type B, en violation de l'art. 42 LC. Elles contestent l'inconstitutionnalité de leur réglementation sur le service des taxis. En outre, à leur avis, elles pouvaient choisir de multiples solutions pour remédier à la prétendue inconstitutionnalité constatée par le Tribunal administratif; elles pouvaient, par exemple, modifier le système d'attribution des autorisations ou les obligations imposées aux exploitants, voire prendre d'autres dispositions qui n'ont pas encore été examinées. La violation serait d'autant plus flagrante qu'elles auraient expliqué que la réglementation sur les taxis allait être profondément modifiée.</w:t>
      </w:r>
    </w:p>
    <w:p>
      <w:r>
        <w:rPr>
          <w:b/>
        </w:rPr>
        <w:t>E. 3.1</w:t>
      </w:r>
    </w:p>
    <w:p>
      <w:r>
        <w:t>Le Tribunal fédéral reconnaît aux chauffeurs de taxis indépendants le droit de se prévaloir de la liberté du commerce et de l'industrie garantie par l' art. 31 aCst. (actuellement, art. 27 Cst. ), même s'ils demandent de pouvoir faire un usage accru du domaine public pour l'exercice de leur profession (arrêt du Tribunal fédéral 2P.167/1999 du 25 mai 2000 in: SJ 2001 I 65; ATF 121 I 129 consid. 3b p. 131; 108 Ia 135 consid. 3 p. 136; 99 Ia 394 consid. 2b/aa p. 398). Le stationnement des taxis sur les emplacements qui leur sont réservés représente toutefois un usage accru du domaine public que la collectivité publique est en principe habilitée à réglementer. Parmi les mesures admissibles au regard de l' art. 27 Cst. , le législateur peut limiter le nombre de places réservées aux taxis, mais il doit veiller à ne pas restreindre de façon disproportionnée l'exploitation du service dans son ensemble, en particulier il ne doit pas soumettre la profession de taxi à un numerus clausus déterminé uniquement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d'autorisations de garer sur des places réservées aux taxis en fonction de la place disponible. Il n'est pas nécessaire pour cela d'apporter la preuve que la mise à la libre disposition de tous les concurrents de places de stationnement conduirait à une situation absolument intenable (arrêt du Tribunal fédéral 2P.167/1999 du 25 mai 2000 in: SJ 2001 I 65; ATF 99 Ia 394 consid. 2 b/bb et 3 p. 400 ss; 97 Ia 653 consid. 5 b/bb p. 657). La collectivité peut aussi subordonner le permis de stationnement aux exigences de la circulation, à la place disponible, et même, dans une certaine mesure, aux besoins du public (arrêt du Tribunal fédéral 2P.167/1999 du 25 mai 2000 in: SJ 2001 I 65; ATF 79 I 334 consid. 3 p. 337).</w:t>
      </w:r>
    </w:p>
    <w:p>
      <w:r>
        <w:t>Devant la diversité des réglementations également admissibles au regard des exigences constitutionnelles, le Tribunal fédéral a jugé qu'entre également dans la sphère d'autonomie de la commune le droit de remplacer un système contraire à la Constitution par un système permettant de répartir équitablement les autorisations entre les différents concurrents, dans la mesure où il s'avère, après un examen approfondi de la situation, qu'il n'est pas possible d'augmenter le nombre des autorisations de type A (arrêt du Tribunal fédéral 2P.77/2001 du 28 juin 2001, consid. 2b).</w:t>
      </w:r>
    </w:p>
    <w:p>
      <w:r>
        <w:rPr>
          <w:b/>
        </w:rPr>
        <w:t>E. 3.2</w:t>
      </w:r>
    </w:p>
    <w:p>
      <w:r>
        <w:t>En l'espèce, le Tribunal administratif a constaté que l'autorité inférieure n'avait pas examiné la question décisive de la justification du numerus clausus et, le cas échéant, du nombre d'autorisations justifiées et que la décision de cette dernière n'établissait pas suffisamment les faits. Il n'a toutefois pas renvoyé la cause pour complément d'instruction, mais jugé fondés les griefs des recourants à l'encontre du régime litigieux et ordonné l'octroi des autorisations sollicitées, sans toutefois annuler la décision du 9 novembre 2000.</w:t>
      </w:r>
    </w:p>
    <w:p>
      <w:r>
        <w:t>Les considérations du Tribunal administratif n'échappent pas à une certaine contradiction. En effet, durant la procédure cantonale, les recourantes avaient allégué que l'augmentation du nombre d'autorisations A, voire la suppression du numerus clausus desdites autorisations, pouvaient mettre en danger l'utilisation du domaine public et perturber la circulation; les intimés, pour leur part, avaient affirmé le contraire; aucune preuve n'est toutefois venue étayer l'une ou l'autre des positions. L'ayant à juste titre constaté, le Tribunal administratif ne pouvait pas renoncer à un complément d'instruction et décréter l'inconstitutionnalité de la réglementation intercommunale sur les taxis en se fondant sur un état de fait incomplet. En procédant de la sorte, le Tribunal administratif a préjugé de la question qu'il devait précisément examiner tout en reconnaissant ne pas disposer des éléments de faits l'y autorisant.</w:t>
      </w:r>
    </w:p>
    <w:p>
      <w:r>
        <w:t>Sur le fond, quand bien même le système litigieux peut sembler à première vue insatisfaisant s'agissant en particulier du taux de rotation des autorisations A, le Tribunal administratif ne pouvait pas choisir de rétablir la constitutionnalité du système en adoptant lui-même une solution permissive et en l'imposant aux communes intéressées au mépris de leur liberté de choix; cela lui était d'autant plus interdit que les communes concernées avaient annoncé une modification du régime légal d'octroi des autorisations A.</w:t>
      </w:r>
    </w:p>
    <w:p>
      <w:r>
        <w:t>A fortiori, il ne pouvait pas non plus ordonner à l'organe intercommunal, dont se sont dotées les communes membres de l'entente, l'octroi des autorisations A pour le seul motif de la longueur de la procédure. Ce faisant, il usurpait le droit des communes vaudoises de choisir parmi les multiples solutions examinées par la jurisprudence du Tribunal fédéral dans l'aménagement du système de numerus clausus.</w:t>
      </w:r>
    </w:p>
    <w:p>
      <w:r>
        <w:rPr>
          <w:b/>
        </w:rPr>
        <w:t>E. 3.3</w:t>
      </w:r>
    </w:p>
    <w:p>
      <w:r>
        <w:t>Par conséquent, en ordonnant à la Commission administrative l'octroi sans délai des autorisations de type A aux intimés, qui plus est sans même disposer d'un état de fait suffisant à cet effet, le Tribunal administratif a violé l'autonomie des recourantes.</w:t>
      </w:r>
    </w:p>
    <w:p>
      <w:r>
        <w:t>L'arrêt litigieux devant être annulé pour ce motif déjà, il est inutile d'examiner les autres griefs formulés par les recourantes, en particulier sous l'angle de leur droit d'être entendues, bien que l'absence de procès-verbal écrit des débats devant le Tribunal administratif apparaisse douteuse sous cet angle.</w:t>
      </w:r>
    </w:p>
    <w:p>
      <w:r>
        <w:rPr>
          <w:b/>
        </w:rPr>
        <w:t>E. 4</w:t>
      </w:r>
    </w:p>
    <w:p>
      <w:r>
        <w:t>Les considérants qui précèdent conduisent à l'admission du recours dans la mesure où il est recevable et à l'annulation des chiffres II à IV du dispositif de l'arrêt du Tribunal administratif du 3 janvier 2002.</w:t>
      </w:r>
    </w:p>
    <w:p>
      <w:r>
        <w:t>Vu l'issue du recours, les frais judiciaires doivent être mis à la charge des intimés qui succombent ( art. 156 al. 1 OJ en relation avec les art. 153 et 153a OJ ). Les recourantes qui ont certes procédé avec l'aide d'un mandataire n'ont toutefois pas droit à des dépens pour la procédure fédérale, dès lors que ce mandataire est secrétaire de l'autorité juridictionnelle intercommunale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