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2P.35/2003 vom 5. November 2003</w:t>
      </w:r>
    </w:p>
    <w:p>
      <w:r>
        <w:t>Bundesgericht, 2003-11-05, IT</w:t>
      </w:r>
    </w:p>
    <w:p>
      <w:r>
        <w:rPr>
          <w:b/>
        </w:rPr>
        <w:t xml:space="preserve">Quelle: </w:t>
      </w:r>
      <w:r>
        <w:t>https://mcp.opencaselaw.ch/entscheid/bger_2P.35_2003</w:t>
      </w:r>
    </w:p>
    <w:p>
      <w:r>
        <w:t>FR: TF 2P.35/2003 du 5 novembre 2003</w:t>
      </w:r>
    </w:p>
    <w:p>
      <w:r>
        <w:t>IT: TF 2P.35/2003 del 5 novembre 2003</w:t>
      </w:r>
    </w:p>
    <w:p>
      <w:pPr>
        <w:pStyle w:val="Heading2"/>
      </w:pPr>
      <w:r>
        <w:t>Erwägungen</w:t>
      </w:r>
    </w:p>
    <w:p>
      <w:r>
        <w:rPr>
          <w:b/>
        </w:rPr>
        <w:t>E. 7</w:t>
      </w:r>
    </w:p>
    <w:p>
      <w:r>
        <w:t>La ricorrente ha esperito contro la sentenza d'inammissibilità emessa l'11 ottobre 2002 dal Tribunale amministrativo e, in quanto ricevibile anche contro quella pronunciata il 9 luglio 2002 dal Consiglio di Stato, un ricorso di diritto amministrativo e un ricorso di diritto pubblico. Come già rilevato nell'ambito dell'esame del ricorso di diritto amministrativo 2A.356/2002 (cfr. consid. 2), la materia oggetto del contendere è retta esclusivamente dal diritto cantonale. Il presente ricorso di diritto amministrativo deve quindi essere dichiarato inammissibile per le stesse considerazioni che quelle sviluppate nell'ambito dell'esame del procedimento 2A.356/2002, alle quali si può senz'altro rinviare (cfr. consid. 3.2).</w:t>
      </w:r>
    </w:p>
    <w:p>
      <w:r>
        <w:rPr>
          <w:b/>
        </w:rPr>
        <w:t>E. 8.1</w:t>
      </w:r>
    </w:p>
    <w:p>
      <w:r>
        <w:t>Il ricorso di diritto pubblico 2P.273/2002 è rivolto contro la decisione governativa del 9 luglio 2002 e contro la sentenza cantonale emessa l'11 ottobre successivo. Nel concreto caso, il quesito di sapere se l'impugnativa, in quanto esperita contro la decisione governativa, sia - così come a prima vista sembra essere il caso - tardiva (cfr. art. 89 cpv. 1 OG ) e, pertanto, inammissibile può, in concreto, rimanere irrisolto: anche se fosse ammissibile da questo profilo il ricorso, per i motivi esposti di seguito, sfugge comunque ad un esame di merito.</w:t>
      </w:r>
    </w:p>
    <w:p>
      <w:r>
        <w:rPr>
          <w:b/>
        </w:rPr>
        <w:t>E. 8.2</w:t>
      </w:r>
    </w:p>
    <w:p>
      <w:r>
        <w:t>Sia il Consiglio di Stato sia il Tribunale amministrativo hanno negato che fosse data la loro competenza a statuire sul gravame del 20 giugno 2002 e l'hanno quindi entrambi dichiarato inammissibile. La questione di sapere se la motivazione adotta da ognuna delle autorità a sostegno del proprio giudizio (coerenza delle vie ricorsuali da parte del Consiglio di Stato; applicazione della cosiddetta clausola enumerativa di cui all'art. 60 cpv. 1 LPAmm, in relazione con l'art. 85 cpv. 3 LSan, da parte del Tribunale amministrativo) sia inficiata d'arbitrio può in concreto rimanere indecisa. In effetti, anche se si volesse considerare che dette motivazioni sono insostenibili e, quindi, arbitrarie, le decisioni querelate non andrebbero tuttavia annullate poiché le stesse - procedendo alla cosiddetta sostituzione di motivi ( DTF 122 I 257 consid. 5; 120 Ia 220 consid. 3d; 112 Ia 129 consid. 3c; 106 Ia 310 consid. 1b) - risultano comunque giustificate nel loro risultato, come verrà esposto di seguito (cfr. consid. 8.5).</w:t>
      </w:r>
    </w:p>
    <w:p>
      <w:r>
        <w:rPr>
          <w:b/>
        </w:rPr>
        <w:t>E. 8.3</w:t>
      </w:r>
    </w:p>
    <w:p>
      <w:r>
        <w:t>Giusta l'art. 43 LPAmm hanno qualità per interporre ricorso persone o enti pubblici lesi direttamente nei loro legittimi interessi dalla decisione impugnata. Detta norma si applica nelle procedure avviate sia dinanzi al Consiglio di Stato sia davanti al Tribunale amministrativo (cfr. titolo parte III, lettera A) sulle norme comuni, della legge di procedura per le cause amministrative). Come il Tribunale federale ha già avuto modo di rilevare, la legittimazione ricorsuale sancita da questo disposto è garantita almeno alle stesse condizioni di quella di cui all' art. 103 OG (cfr. RDAT 1993 II n. 55 consid. 3b; Marco Borghi/Guido Corti, Compendio di procedura amministrativa ticinese, Lugano 1997, pag. 215), alla cui prassi è possibile fare riferimento per analogia. Ai sensi dell' art. 103 lett. a OG , ha diritto di ricorrere chiunque è toccato dalla decisione impugnata e ha un interesse degno di protezione all'annullamento o alla modifica della stessa. L'interesse degno di protezione può essere sia giuridico che di mero fatto e non deve necessariamente coincidere con l'interesse tutelato dalle norme che il ricorrente reputa violate. In ogni caso per essere legittimato ad agire, il ricorrente dev'essere toccato più di chiunque altro dalla decisione impugnata ed avere con l'oggetto litigioso un rapporto stretto, particolare e degno di protezione. Ciò è dato solo laddove la sua situazione è suscettibile di essere influenzata dall'esito della procedura: non vi è invece legittimazione ricorsuale laddove l'insorgente agisce nell'interesse della legge o di un terzo ( DTF 121 II 39 consid. 2c/aa con rinvii). Le condizioni appena esposte mirano ad escludere l'azione popolare. Le stesse assumono particolare rilevanza nei casi - come quello in esame - dove non è il destinatario della decisione a ricorrere, ma un terzo (cfr. Fritz Gygi, Vom Beschwerderecht in der Bundesverwaltungsrechtspflege in: Recht 1986, pag. 8 e seg.; Lucrezia Glanzmann-Tarnutzer, Die Legitimation des Konkurrenten zur Verwaltungsgerichtsbeschwerde an das Bundesgericht, tesi San Gallo 1997, pag. 107, 122).</w:t>
      </w:r>
    </w:p>
    <w:p>
      <w:r>
        <w:rPr>
          <w:b/>
        </w:rPr>
        <w:t>E. 8.4</w:t>
      </w:r>
    </w:p>
    <w:p>
      <w:r>
        <w:t>Il Tribunale federale ammette solo con un certo riserbo il diritto a ricorrere dei concorrenti. A tale proposito, è insufficiente il semplice timore dell'interessato di essere esposto a una maggiore concorrenza. In effetti, una simile conclusione, se applicata senza alcuna restrizione, estenderebbe il diritto di ricorso in modo tale da sfiorare l'azione popolare, cosa che il legislatore ha voluto evitare (cfr. DTF 109 Ib 198 consid. 4d). Per far sì che un concorrente sia legittimato a ricorrere è invece necessario che tra questi e l'oggetto del litigio esista un legame stretto e particolare. Tale situazione si realizza segnatamente laddove due concorrenti sono sottoposti ad una specifica legislazione economica e, in particolare, laddove sono contestate decisioni concernenti dei contingenti oppure quando un concorrente possa fare valere un significativo peggioramento della propria situazione economica o, infine, quando egli censura un trattamento disuguale a proprio sfavore. Non esistono tuttavia principi generali sempre validi: spetta invece all'autorità vagliare in ogni singola fattispecie se il concorrente che intende ricorrere dispone di un interesse particolare, superiore a quello di chiunque altro, all'annullamento dell'atto contestato ( DTF 125 I 7 consid. 3 con numerosi rinvii e una ricca casistica; 123 II 376 consid. 5b/aa; 113 Ib 97 consid. 1b, 363 consid. 3b; 109 Ib 198 consid. 4d con relativi rinvii; cfr. pure Peter Karlen, Verwaltungsgerichtsbeschwerde in: Prozessieren vor Bundesgericht, 2a ed., Basilea e Francoforte sul Meno 1998, pag. 104).</w:t>
      </w:r>
    </w:p>
    <w:p>
      <w:r>
        <w:rPr>
          <w:b/>
        </w:rPr>
        <w:t>E. 8.5</w:t>
      </w:r>
    </w:p>
    <w:p>
      <w:r>
        <w:t>Nel gravame proposto il 20 giugno 2002 la qui ricorrente ha sostanziato la propria legittimazione a ricorrere ai sensi dell'art. 43 LPAmm censurando una violazione delle norme imperative delle leggi in materia sanitaria a cui ambedue le società sarebbero sottoposte. Ha affermato che vi sarebbe addirittura un interesse pubblico predominante all'accertamento dell'illegalità dell'autorizzazione litigiosa. Su quest'ultimo argomento va osservato che, come già esposto in precedenza, non vi è legittimazione ad agire laddove l'insorgente agisce nell'interesse della legge. Va poi osservato che, per quanto qui interessa, l'art. 85 LSan ha per scopo la tutela della salute pubblica, in quanto tende a proteggere il pubblico da operatori potenzialmente pericolosi; detto disposto non mira invece a proteggere la concorrenza da nuove attività nel medesimo settore. Va anche rilevato che la ricorrente non afferma che un'autorizzazione, concessa a terzi, le sarebbe stata invece negata, come anche non sostiene e soprattutto non dimostra che la propria situazione economica avrebbe subito un significativo peggioramento, limitandosi in proposito a far valere un interesse economico privato non meglio specificato. Visto quanto precede, la ricorrente non adempie manifestamente le esigenze poste affinché le sia riconosciuta la legittimazione a ricorrere: l'impugnativa esperita in sede cantonale avrebbe pertanto potuto senza arbitrio essere dichiarata inammissibile per carenza di legittimazione attiva.</w:t>
      </w:r>
    </w:p>
    <w:p>
      <w:r>
        <w:rPr>
          <w:b/>
        </w:rPr>
        <w:t>E. 8.6</w:t>
      </w:r>
    </w:p>
    <w:p>
      <w:r>
        <w:t>Visto quanto testé esposto, è senza arbitrio - nel risultato - che il gravame esperito il 20 giugno 2002 dalla ricorrente in sede cantonale è stato dichiarato inammissibile. Il presente ricorso di diritto pubblico, infondato, deve pertanto essere respinto.</w:t>
      </w:r>
    </w:p>
    <w:p>
      <w:r>
        <w:rPr>
          <w:b/>
        </w:rPr>
        <w:t>E. 9</w:t>
      </w:r>
    </w:p>
    <w:p>
      <w:r>
        <w:t>Le spese seguono la soccombenza ( art. 156 cpv. 1, 153 e 153a OG ). La ricorrente verserà alla B.________ SA, assistita da un avvocato, un'indennità a titolo di ripetibili della sede federale.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