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2P.32/2004 vom 19. Februar 2004</w:t>
      </w:r>
    </w:p>
    <w:p>
      <w:r>
        <w:t>Bundesgericht, 2004-02-19, DE</w:t>
      </w:r>
    </w:p>
    <w:p>
      <w:r>
        <w:rPr>
          <w:b/>
        </w:rPr>
        <w:t xml:space="preserve">Quelle: </w:t>
      </w:r>
      <w:r>
        <w:t>https://mcp.opencaselaw.ch/entscheid/bger_2P.32_2004</w:t>
      </w:r>
    </w:p>
    <w:p>
      <w:r>
        <w:t>FR: TF 2P.32/2004 du 19 février 2004</w:t>
      </w:r>
    </w:p>
    <w:p>
      <w:r>
        <w:t>IT: TF 2P.32/2004 del 19 febbraio 2004</w:t>
      </w:r>
    </w:p>
    <w:p>
      <w:pPr>
        <w:pStyle w:val="Heading2"/>
      </w:pPr>
      <w:r>
        <w:t>Regeste</w:t>
      </w:r>
    </w:p>
    <w:p>
      <w:r>
        <w:t>Grundrecht</w:t>
      </w:r>
    </w:p>
    <w:p>
      <w:pPr>
        <w:pStyle w:val="Heading2"/>
      </w:pPr>
      <w:r>
        <w:t>Erwägungen</w:t>
      </w:r>
    </w:p>
    <w:p>
      <w:r>
        <w:rPr>
          <w:b/>
        </w:rPr>
        <w:t>E. 1</w:t>
      </w:r>
    </w:p>
    <w:p>
      <w:r>
        <w:t>Auf die staatsrechtliche Beschwerde wird nicht eingetreten.</w:t>
      </w:r>
    </w:p>
    <w:p>
      <w:r>
        <w:rPr>
          <w:b/>
        </w:rPr>
        <w:t>E. 2</w:t>
      </w:r>
    </w:p>
    <w:p>
      <w:r>
        <w:t>Die Gerichtsgebühr von Fr. 1'000.-- wird der Beschwerdeführerin auferlegt.</w:t>
      </w:r>
    </w:p>
    <w:p>
      <w:r>
        <w:rPr>
          <w:b/>
        </w:rPr>
        <w:t>E. 3</w:t>
      </w:r>
    </w:p>
    <w:p>
      <w:r>
        <w:t>Dieses Urteil wird den Parteien und der Aufsichtskommission über die Rechtsanwälte im Kanton Zürich schriftlich mitgeteilt. Lausanne, 19. Februar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