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2P.329/2006 vom 15. Juni 2007</w:t>
      </w:r>
    </w:p>
    <w:p>
      <w:r>
        <w:t>Bundesgericht, 2007-06-15, DE</w:t>
      </w:r>
    </w:p>
    <w:p>
      <w:r>
        <w:rPr>
          <w:b/>
        </w:rPr>
        <w:t xml:space="preserve">Quelle: </w:t>
      </w:r>
      <w:r>
        <w:t>https://mcp.opencaselaw.ch/entscheid/bger_2P.329_2006</w:t>
      </w:r>
    </w:p>
    <w:p>
      <w:r>
        <w:t>FR: TF 2P.329/2006 du 15 juin 2007</w:t>
      </w:r>
    </w:p>
    <w:p>
      <w:r>
        <w:t>IT: TF 2P.329/2006 del 15 giugno 2007</w:t>
      </w:r>
    </w:p>
    <w:p>
      <w:pPr>
        <w:pStyle w:val="Heading2"/>
      </w:pPr>
      <w:r>
        <w:t>Regeste</w:t>
      </w:r>
    </w:p>
    <w:p>
      <w:r>
        <w:t>Art. 9 und 29 Abs. 2 BV (Submission) | Grundrecht</w:t>
      </w:r>
    </w:p>
    <w:p>
      <w:pPr>
        <w:pStyle w:val="Heading2"/>
      </w:pPr>
      <w:r>
        <w:t>Erwägungen</w:t>
      </w:r>
    </w:p>
    <w:p>
      <w:r>
        <w:rPr>
          <w:b/>
        </w:rPr>
        <w:t>E. 1</w:t>
      </w:r>
    </w:p>
    <w:p>
      <w:r>
        <w:t>Am 1. Januar 2007 ist das Bundesgesetz vom 17. Juni 2005 über das Bundesgericht (Bundesgerichtsgesetz, BGG; SR 173.110) in Kraft getreten. Da der angefochtene Entscheid vorher ergangen ist, richtet sich das Verfahren noch nach dem Bundesgesetz vom 16. Dezember 1943 über die Organisation der Bundesrechtspflege (OG; vgl. Art. 132 Abs. 1 BGG ).</w:t>
      </w:r>
    </w:p>
    <w:p>
      <w:r>
        <w:rPr>
          <w:b/>
        </w:rPr>
        <w:t>E. 2.1</w:t>
      </w:r>
    </w:p>
    <w:p>
      <w:r>
        <w:t>Angefochten ist ein letztinstanzlicher kantonaler Endentscheid, der sich auf kantonales (Submissions-)Recht stützt und gegen den mangels Zulässigkeit eines anderen eidgenössischen Rechtsmittels nur die staatsrechtliche Beschwerde offen steht ( Art. 84 Abs. 2, Art. 86 und Art. 87 OG ). Die Beschwerdeführerin ist durch den Entscheid des Verwaltungsgerichts, mit dem über die Zulässigkeit der Vergebung des streitigen Auftrages an ein Drittunternehmen befunden wird, in ihrer Rechtsstellung betroffen und nach Art. 88 OG zur Beschwerde legitimiert.</w:t>
      </w:r>
    </w:p>
    <w:p>
      <w:r>
        <w:rPr>
          <w:b/>
        </w:rPr>
        <w:t>E. 2.2</w:t>
      </w:r>
    </w:p>
    <w:p>
      <w:r>
        <w:t>Nach Art. 90 Abs. 1 lit. b OG muss die Beschwerdeschrift die wesentlichen Tatsachen und eine kurz gefasste Darlegung darüber enthalten, welche verfassungsmässigen Rechte bzw. welche Rechtssätze inwiefern durch den angefochtenen Erlass oder Entscheid verletzt worden sind. Das Bundesgericht prüft im Verfahren der staatsrechtlichen Beschwerde nur klar und detailliert erhobene und, soweit möglich, belegte Rügen ( BGE 110 Ia 1 E. 2 S. 3 f.). Auf rein appellatorische Kritik am angefochtenen Entscheid tritt es nicht ein ( BGE 107 Ia 186 E. b). Rügt der Beschwerdeführer eine Verletzung des Willkürverbots, kann er sich nicht damit begnügen, den angefochtenen Entscheid einfach als willkürlich zu bezeichnen; er hat vielmehr anhand der angefochtenen Subsumtion im Einzelnen darzulegen, inwiefern der Entscheid an einem qualifizierten und offensichtlichen Mangel leidet ( BGE 125 I 492 E. 1b S. 495; 117 Ia 10 E. 4b S. 11/12).</w:t>
      </w:r>
    </w:p>
    <w:p>
      <w:r>
        <w:rPr>
          <w:b/>
        </w:rPr>
        <w:t>E. 3</w:t>
      </w:r>
    </w:p>
    <w:p>
      <w:r>
        <w:t>Die Beschwerdeführerin rügt eine Verletzung von Art. 9 und 29 Abs. 1 BV . Inwiefern neben dem angerufenen Willkürverbot ( Art. 9 BV ) auch der Anspruch auf gleiche und gerechte Behandlung im Verfahren ( Art. 29 Abs. 1 BV ) verletzt worden sein soll, wird in der Beschwerdeschrift nicht dargetan; auf diese Rüge ist nicht einzutreten. Die Vorbringen der Beschwerdeführerin sind im Übrigen in weiten Teilen rein appellatorisch. Die staatsrechtliche Beschwerde genügt bloss in den im Folgenden behandelten beiden Punkten (E. 4.2.1 und E. 4.2.2) den Begründungsanforderungen von Art. 90 Abs. 1 lit. b OG :</w:t>
      </w:r>
    </w:p>
    <w:p>
      <w:r>
        <w:rPr>
          <w:b/>
        </w:rPr>
        <w:t>E. 4.1</w:t>
      </w:r>
    </w:p>
    <w:p>
      <w:r>
        <w:t>Die Beschwerdeführerin schliesst sich, in Abweichung von ihren Vorbringen im kantonalen Verfahren, nunmehr ausdrücklich dem Standpunkt des Verwaltungsgerichts an, wonach nicht ein Widerruf des Zuschlages oder eine Wiederholung des Vergabeverfahrens in Frage stehe (Beschwerde S. 8). Sie akzeptiert auch ausdrücklich die Auffassung des Verwaltungsgerichts, wonach die Frage einer Kontrahierungspflicht sowie die Beurteilung eines aus dem Nichtabschluss des Vertrages allfällig entstandenen Schadenersatzanspruches in die Zuständigkeit des Zivilrichters falle, bei dem inzwischen ein entsprechendes Verfahren eingeleitet worden sei (Beschwerde S.7). Die Beschwerdeführerin greift das Urteil des Verwaltungsgerichts in diesen Punkten bewusst nicht an und beschränkt ihre Vorbringen auf die Frage der Zulässigkeit des Vertragsabschlusses mit der Firma Y.________ Transporte. Sie erachtet die Argumentation, mit welcher das Verwaltungsgericht das diesbezügliche Vorgehen des Verbandes schützte, als willkürlich.</w:t>
      </w:r>
    </w:p>
    <w:p>
      <w:r>
        <w:rPr>
          <w:b/>
        </w:rPr>
        <w:t>E. 4.2.1</w:t>
      </w:r>
    </w:p>
    <w:p>
      <w:r>
        <w:t>Sie macht zunächst geltend, die zur Verzögerung bzw. Verhinderung eines Vertragsabschlusses führende Lage sei entgegen der Annahme des Verwaltungsgerichts nicht von ihr verschuldet worden. Vielmehr habe der Verband die Unternehmer durch Angabe einer falschen Tonnage getäuscht. Zwar habe sie bei Einreichung der Offerte um die Tonnendifferenz gewusst, doch sei ihr der Grund hiefür - Einsammlung des Kehrichts von Hotels und Campingplätzen durch andere vom Verband beauftragte Unternehmer - damals nicht bekannt gewesen. Dieser Einwand vermag nicht durchzudringen. Was es mit der beanstandeten Differenz bezüglich der zu entsorgenden Abfallmenge für eine Bewandtnis hat und wieweit Abweichungen von den in der Ausschreibung als "Richtwert" angegebenen Werten die Kalkulation des Tonnenpreises durch die Anbieter beeinflussen konnten, bedarf hier keiner weiteren Abklärung. Wenn die Beschwerdeführerin als bisher mit dem Sammeldienst beauftragtes Unternehmen schon bei der Abfassung ihrer Offerte feststellte, dass die in der Ausschreibung als Basis für die Kalkulation angegebene Abfallmenge des Jahres 2005 nicht mit den von ihr selber in den letzten Jahren gemessenen Werten übereinstimmte, dann hätte es an ihr gelegen, gemäss Ziff. 1.7. der Ausschreibungsunterlagen innert der hiefür gesetzten Frist (18. Januar 2006) mit einer entsprechenden Frage an den Verband zu gelangen. Der Verband hätte alsdann, wie in der Ausschreibung festgehalten, seine diesbezügliche Auskunft allen Bewerbern mitgeteilt. Nachdem jedoch die übrigen Bewerber sich gleich wie die Beschwerdeführerin für ihre Kalkulation auf die in der Ausschreibung genannte Menge abgestützt hatten, durfte sich der Verband ohne Willkür auf den Standpunkt stellen, das Gebot der Gleichbehandlung der Anbieter schliesse eine nachträgliche Korrektur der Offerte der Beschwerdeführerin bzw. des mit ihr abzuschliessenden Vertrages aus.</w:t>
      </w:r>
    </w:p>
    <w:p>
      <w:r>
        <w:rPr>
          <w:b/>
        </w:rPr>
        <w:t>E. 4.2.2</w:t>
      </w:r>
    </w:p>
    <w:p>
      <w:r>
        <w:t>Die Beschwerdeführerin rügt weiter, der Verband habe den von ihr ohne Anpassungsklausel schliesslich doch noch unterschriebenen Vertrag in der Hand gehabt, bevor er als Übergangslösung freihändig die zweitplatzierte Firma Y.________ Transporte mit dem Sammeldienst beauftragt habe. Sie habe damit die Bedingungen der Ausschreibung vollumfänglich und noch rechtzeitig erfüllt, weshalb der Auftrag zur Weiterführung des Sammeldienstes zu Unrecht dieser anderen Firma erteilt worden sei. Zwar trifft zu, dass die Beschwerdeführerin am 28. Juli 2006, nachdem der Verband den Vertragsabschluss als gescheitert betrachtet und die Beauftragung einer Drittfirma bereits angekündigt hatte, den zuschlagskonformen Vertrag unterzeichnet einreichte. In ihrem Begleitschreiben offerierte sie ihre Dienste ab sofort, behielt aber "allen Schadenersatz" vor und verlangte eine anfechtbare Verfügung, um ihre Rechte vor Verwaltungsgericht geltend machen zu können. Wenn der Verband auf diese, erst lange nach Ablauf der hiefür gesetzten Frist (15. Juli 2006) abgegebene und weiterhin mit Vorbehalten verbundene Zustimmungserklärung nicht mehr einging, war diese Haltung zumindest vertretbar. Dass die Beschwerdeführerin ihre Auffassung, wonach die zuschlagskonforme Entschädigung mit einer Anpassungsklausel versehen werden müsse, nicht aufgegeben hatte, ergab sich schon aus dem dahingehenden Begehren, welches sie im anschliessenden Verfahren vor Verwaltungsgericht erneut stellte. Der Verband durfte bei der gegebenen Sachlage den Abschluss eines dem Zuschlagsentscheid entsprechenden Vertrages ohne Willkür als gescheitert betrachten und alsdann wegen der Dringlichkeit einer fortlaufenden Entsorgung des Hauskehrichts gestützt auf die dahingehende Ausnahmeregelung in Art. 3 Abs. 1 lit. e der kantonalen Submissionsverordnung vom 25. Mai 2004 freihändig eine andere Unternehmung mit der vorläufigen Weiterführung des Sammeldienstes beauftragen. Die Beschwerdeführerin bringt nichts vor, was das diesen Standpunkt des Verbandes schützende Urteil des Verwaltungsgerichts als unhaltbar erscheinen liesse.</w:t>
      </w:r>
    </w:p>
    <w:p>
      <w:r>
        <w:rPr>
          <w:b/>
        </w:rPr>
        <w:t>E. 5</w:t>
      </w:r>
    </w:p>
    <w:p>
      <w:r>
        <w:t>Nach dem Gesagten erweist sich die staatsrechtliche Beschwerde, soweit darauf einzutreten ist, als unbegründet. Bei diesem Ausgang sind die Kosten des bundesgerichtlichen Verfahrens der unterliegenden Beschwerdeführerin aufzuerlegen ( Art. 156 OG ). Diese hat zudem dem anwaltlich vertretenen Verband für das bundesgerichtliche Verfahren eine Parteientschädigung auszurichten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