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2P.307/2005 vom 24. Mai 2006</w:t>
      </w:r>
    </w:p>
    <w:p>
      <w:r>
        <w:t>Bundesgericht, 2006-05-24, FR</w:t>
      </w:r>
    </w:p>
    <w:p>
      <w:r>
        <w:rPr>
          <w:b/>
        </w:rPr>
        <w:t xml:space="preserve">Quelle: </w:t>
      </w:r>
      <w:r>
        <w:t>https://mcp.opencaselaw.ch/entscheid/bger_2P.307_2005</w:t>
      </w:r>
    </w:p>
    <w:p>
      <w:r>
        <w:t>FR: TF 2P.307/2005 du 24 mai 2006</w:t>
      </w:r>
    </w:p>
    <w:p>
      <w:r>
        <w:t>IT: TF 2P.307/2005 del 24 maggio 2006</w:t>
      </w:r>
    </w:p>
    <w:p>
      <w:pPr>
        <w:pStyle w:val="Heading2"/>
      </w:pPr>
      <w:r>
        <w:t>Regeste</w:t>
      </w:r>
    </w:p>
    <w:p>
      <w:r>
        <w:t>art. 9 et 29 Cst. (adjudication; dommages et intérêts) | Droit fondamental</w:t>
      </w:r>
    </w:p>
    <w:p>
      <w:pPr>
        <w:pStyle w:val="Heading2"/>
      </w:pPr>
      <w:r>
        <w:t>Erwägungen</w:t>
      </w:r>
    </w:p>
    <w:p>
      <w:r>
        <w:rPr>
          <w:b/>
        </w:rPr>
        <w:t>E. 1</w:t>
      </w:r>
    </w:p>
    <w:p>
      <w:r>
        <w:t>Le Tribunal fédéral examine d'office et librement la recevabilité des recours qui lui sont soumis ( ATF 131 I 153 consid. 1 p. 156).</w:t>
      </w:r>
    </w:p>
    <w:p>
      <w:r>
        <w:rPr>
          <w:b/>
        </w:rPr>
        <w:t>E. 1.1</w:t>
      </w:r>
    </w:p>
    <w:p>
      <w:r>
        <w:t>Formé pour violation des droits constitutionnels ( art. 84 al. 1 lettre a OJ ), le présent recours de droit public n'est recevable, en principe, qu'à l'encontre des décisions prises en dernière instance cantonale qui revêtent un caractère final (cf. art. 86 al. 1 et 87 OJ ). Tel est bien le cas de l'arrêt attaqué au regard des art. 15 de l'accord intercantonal du 25 novembre 1994 sur les marchés publics, dans la version en vigueur pour le canton de Genève (RO 1996 p. 1438), et 3 de la loi genevoise du 12 juin 1997 autorisant le Conseil d'Etat à adhérer à l'accord intercantonal sur les marchés publics (cf. ATF 131 I 153 consid. 1.1 p. 156).</w:t>
      </w:r>
    </w:p>
    <w:p>
      <w:r>
        <w:rPr>
          <w:b/>
        </w:rPr>
        <w:t>E. 1.2</w:t>
      </w:r>
    </w:p>
    <w:p>
      <w:r>
        <w:t>En vertu de l' art. 88 OJ , le recours de droit public exige, en principe, un intérêt juridique actuel et pratique à l'annulation de l'acte attaqué, respectivement à l'examen des griefs soulevés. Le Tribunal fédéral a déjà admis qu'un soumissionnaire évincé avait incontestablement intérêt à ce que l'autorité intimée entre en matière sur son recours, même si le pouvoir adjudicateur avait déjà conclu le contrat avec l'adjudicataire. Dans un tel cas en effet, le soumissionnaire évincé dispose encore d'un intérêt juridiquement protégé à faire constater l'illicéité de la décision d'adjudication afin de pouvoir, le cas échéant, agir en dommages et intérêts contre l'adjudicateur ( ATF 131 I 153 consid. 1.2 p. 157; 125 II 86 consid. 5b p. 97). Ainsi, après la signature du contrat entre les Services industriels et Y.________ AG, X.________ SA ne pouvait plus que demander la constatation de l'illicéité de l'adjudication et la réparation du dommage. X.________ SA a été interpellée sur la suite qu'elle comptait donner à son recours, après la conclusion le 8 juin 2005 dudit contrat, qui rendait sans objet sa demande d'annulation de l'adjudication. Le recours a été maintenu. Par arrêt du Tribunal administratif du 6 septembre 2005, il a toutefois été déclaré irrecevable pour des motifs de procédure. La recourante a un intérêt actuel à contester cet arrêt. Le présent recours ne peut cependant porter que sur la question de la recevabilité. C'est donc à tort que la recourante fait valoir sur le fond que l'adjudication était illicite et qu'elle a droit à des dommages et intérêts ou qu'en relation avec ses griefs de fond, elle allègue une violation de son droit d'être entendue.</w:t>
      </w:r>
    </w:p>
    <w:p>
      <w:r>
        <w:rPr>
          <w:b/>
        </w:rPr>
        <w:t>E. 2</w:t>
      </w:r>
    </w:p>
    <w:p>
      <w:r>
        <w:t>La recourante reproche au Tribunal administratif d'avoir fait une application arbitraire du droit de procédure cantonale, en déclarant le recours cantonal irrecevable du fait qu'elle n'avait pas pris de conclusions en réparation du dommage. La question de la réparation du dommage et la procédure à suivre à cet égard ressortissent à la compétence cantonale (Peter Galli/André Moser/Elisabeth Lang, Praxis des öffentlichen Beschaffungsrechts, Zurich/Bâle/Genève 2003, n. 709 ss, p. 377 ss). Les cantons connaissent des systèmes différents; certains ont adopté une procédure en deux étapes, alors que d'autres ont intégré le traitement des dommages et intérêts dans la procédure de recours contre la décision d'adjudication. Le canton de Genève fait partie de la seconde catégorie. Après la signature du contrat entre le pouvoir adjudicateur et l'adjudicataire, le Tribunal administratif ne reconnaît un intérêt au recours que pour autant que le soumissionnaire évincé conclue à la constatation de l'illicéité de l'adjudication et, surtout, prenne des conclusions quant à la réparation du dommage. C'est ainsi que, dans un arrêt du 26 octobre 2004 (cf. arrêt attaqué, consid. 3, p. 6), le Tribunal administratif a admis sa compétence pour statuer sur la demande de dommages et intérêts du soumissionnaire évincé. Dans l'arrêt entrepris, le Tribunal administratif exige, sous peine d'irrecevabilité, qu'après la conclusion du contrat entre le pouvoir adjudicateur et l'adjudicataire, des conclusions en réparation du dommage soient expressément prises. Comme le Tribunal fédéral l'a jugé dans un arrêt récent ( ATF 132 I 86 , consid. 3.2 et 3.3), en pareille hypothèse, il n'est pas nécessaire que la partie recourante prenne des conclusions expresses en constatation de l'illicéité de l'adjudication, car cette conclusion est déjà implicitement contenue dans celle en annulation de dite adjudication. Le tribunal saisi doit alors de toute façon statuer sur cette conclusion, indépendamment de ce que des dommages et intérêts ont ou non déjà été réclamés. En ce qui concerne des dommages et intérêts, au-delà de la simple constatation de l'illicéité de l'adjudication, et pour le cas où pareille illicéité serait constatée, le droit cantonal peut exiger que le soumissionnaire évincé chiffre sa prétention; à moins que les dispositions cantonales ne précisent les modalités, l'intéressé doit avoir l'occasion de quantifier et de motiver sa prétention (s'il ne l'a pas déjà fait antérieurement).</w:t>
      </w:r>
    </w:p>
    <w:p>
      <w:r>
        <w:rPr>
          <w:b/>
        </w:rPr>
        <w:t>E. 3</w:t>
      </w:r>
    </w:p>
    <w:p>
      <w:r>
        <w:t>Vu ce qui précède, le recours doit être admis et l'arrêt attaqué annulé. Les Services industriels, qui succombent, doivent supporter les frais judiciaires ( art. 156 al. 1, 153 et 153a OJ ) et verser des dépens à la recourante ( art. 159 al. 1 OJ ). Le montant de ces dépens tiendra compte du fait qu'une grande partie de la motivation du recours concerne le fond et non pas la seule question de procédure pouvant être contestée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