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2P.305/2000 vom 5. März 2001</w:t>
      </w:r>
    </w:p>
    <w:p>
      <w:r>
        <w:t>Bundesgericht, 2001-03-05, FR</w:t>
      </w:r>
    </w:p>
    <w:p>
      <w:r>
        <w:rPr>
          <w:b/>
        </w:rPr>
        <w:t xml:space="preserve">Quelle: </w:t>
      </w:r>
      <w:r>
        <w:t>https://mcp.opencaselaw.ch/entscheid/bger_2P.305_2000</w:t>
      </w:r>
    </w:p>
    <w:p>
      <w:r>
        <w:t>FR: TF 2P.305/2000 du 5 mars 2001</w:t>
      </w:r>
    </w:p>
    <w:p>
      <w:r>
        <w:t>IT: TF 2P.305/2000 del 5 marzo 2001</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126 III 274 consid. 1 p. 275; 125 I 412 consid. 1a p. 414). Vu le caractère subsidiaire du recours de droit public ( art. 84 al. 2 OJ ), il convient d'examiner d'abord si la voie du recours de droit administratif est ouverte. Si tel est le cas, le recours de droit public est exclu. a) 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 M.________ est marié avec une Suissesse de sorte que le recours, qui respecte au surplus les formes prescrites par la loi, est recevable en tant que recours de droit administratif. b) En conséquence, le mémoire du recourant n'est pas recevable en tant que recours de droit public.</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124 II 409 consid. 3a p. 421; 121 II 97 consid. 1c p. 99). En outre, le Tribunal fédéral ne peut pas revoir l'opportunité de l'arrêt entrepris, le droit fédéral ne prévoyant pas un tel examen en la matière (art. 104 lettre c ch. 3 OJ).</w:t>
      </w:r>
    </w:p>
    <w:p>
      <w:r>
        <w:rPr>
          <w:b/>
        </w:rPr>
        <w:t>E. 3</w:t>
      </w:r>
    </w:p>
    <w:p>
      <w:r>
        <w:t>Le recourant reproche au Tribunal administratif de n'avoir pas donné suite à ses réquisitions d'instruction (son audition et celle de quatre témoins) ainsi que d'avoir essentiellement fondé l'arrêt attaqué sur un rapport de renseignements (ci-après: le rapport) établi le 15 mars 2000 par la Police municipale de La Tour-de-Peilz (ci-après: la Police) et sur ses éléments (auditions des époux M.________ notamment). Il considère qu'en procédant ainsi, l'autorité intimée a violé son droit d'être entendu garanti par l' art. 29 al. 2 Cst. et le principe de l'interdiction de l'arbitraire consacré par l' art. 9 Cst. a) aa)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p. 137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bb) Dans le cadre de la procédure de recours cantonal, l'intéressé a requis l'audition de quatre témoins par le Tribunal administratif. Il voulait prouver par ces témoignages qu'il avait fait ménage commun avec sa femme de la date de leur mariage jusqu'à fin 1999, le couple M.________ n'ayant pas rencontré de problèmes jusqu'au 15 décembre 1999, que c'était en raison de l'éloignement de son lieu de travail ou par manque de voiture qu'il n'avait pas toujours dormi au domicile conjugal et que la résiliation du bail portant sur l'appartement conjugal était due à des problèmes financiers, le couple M.________ n'envisageant qu'une séparation temporaire en attendant de trouver un logement conforme à ses moyens. Dans son audition du 15 mars 2000 par la Police, le recourant n'a pas contesté avoir quitté sa femme au bout de quinze jours de mariage. Il a expliqué que cette séparation était due à des raisons professionnelles et qu'il avait loué une chambre à X.________. Il a précisé qu'il téléphonait régulièrement à sa femme, la voyait chaque week-end et prenait avec elle une dizaine de repas par mois. En revanche, il a éludé la question relative au nombre de nuits qu'il passait avec elle par mois. Au surplus, il a déclaré vouloir garder son adresse principale à La Tour-de-Peilz afin que ses enfants puissent venir en Suisse. L'autorité intimée a considéré que l'intéressé n'avait plus fait ménage commun avec sa femme après quinze jours de mariage, tout en admettant qu'il pouvait exister une vie commune de pure façade. Le Tribunal administratif ne s'est pas fondamentalement écarté des déclarations du recourant. Leur divergence réside apparemment dans le contenu de la notion de ménage commun. En ce qui concerne la distance à parcourir entre La Tour-de-Peilz (domicile conjugal) et Y.________ (lieu de travail), avec ou sans voiture, il s'agit d'un élément qui se détermine sur la base de connaissances de géographie et des moyens de transport. Quant aux problèmes financiers provoqués par le loyer du domicile conjugal du couple M.________, ils résultent des pièces du dossier et ont été retenus par l'autorité intimée. Enfin, le caractère temporaire de la séparation du couple M.________ est démentie par la requête de mesures protectrices de l'union conjugale et par la demande en divorce déposées respectivement le 15 décembre 1999 et le 24 mai 2000 par la femme de l'intéressé. Par ailleurs, le recourant a demandé sa propre audition pour que le Tribunal administratif constate qu'il a de la peine à s'exprimer en français. Il a fait valoir qu'il n'avait peut-être pas bien compris le sens des questions que la Police lui avait posées lors de son audition du 15 mars 2000. Il n'a cependant contesté aucune de ses réponses et le procès-verbal de cette audition ne reflète aucun malentendu ou décalage entre les questions et les réponses. On ne voit dès lors pas quelles preuves pertinentes des témoins ou l'intéressé auraient pu apporter si l'autorité intimée avait procédé à leur audition. Compte tenu de ce qui précède, le Tribunal administratif pouvait, sans violer le droit d'être entendu du recourant ni tomber dans l'arbitraire, écarter les réquisitions d'auditions présentées, par une appréciation anticipée des preuves, c'est-à-dire en estimant sur la base des pièces du dossier qu'il était suffisamment renseigné et que les preuves proposées ne lui seraient pas utiles. Le moyen tiré sur ce point d'une prétendue violation des art. 9 et 29 al. 2 Cst. n'est par conséquent pas fondé. b) aa) Bien que l'intéressé invoque la violation du principe de l'interdiction de l'arbitraire (cf. l' art. 9 Cst. ), il se plaint en réalité de constatation inexacte ou incomplète des faits pertinents, grief que le Tribunal fédéral examine dans les limites de l' art. 105 al. 2 OJ . bb) Il ressort de l'arrêt attaqué que, pour statuer, le Tribunal administratif ne s'est pas fondé uniquement sur le rapport et sur les auditions des époux M.________, mais qu'il a pris en considération l'ensemble des pièces versées au dossier. Dans l'état de fait, en particulier, il s'est référé à différentes pièces, dont il a résumé certaines. Il est vrai que plusieurs de ces pièces ont été rassemblées par la Police qui les a annexées au rapport, mais cela est sans importance. La Police avait en effet été chargée par le Service cantonal d'effectuer une enquête sur le recourant et de procéder à son audition et à celle de sa femme. Elle a donc joint au rapport les documents sur lesquels elle l'avait fondé. Ces pièces n'en sont pas moins des documents indépendants du rapport. En outre, l'autorité intimée a tenu compte de l'audition du recourant aussi bien que de celle de sa femme. En réalité, l'intéressé reproche au Tribunal administratif de n'avoir pas suivi sa version, mais la solution de l'autorité intimée est suffisamment étayée pour échapper à toute critique. Le Tribunal administratif n'a pas établi les faits de façon manifestement inexacte ou incomplète, de sorte qu'il convient d'écarter le moyen que le recourant tire à cet égard d'une prétendue violation de l' art. 9 Cst.</w:t>
      </w:r>
    </w:p>
    <w:p>
      <w:r>
        <w:rPr>
          <w:b/>
        </w:rPr>
        <w:t>E. 4</w:t>
      </w:r>
    </w:p>
    <w:p>
      <w:r>
        <w:t>Au demeurant, c'est avec raison que l'autorité intimée a admis l'existence en l'espèce d'un mariage fictif. a)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 ATF 122 II 289 consid. 2b p. 295; 121 II 1 consid. 2b p. 3, 97 consid. 3b p. 101/102; Peter Kottusch, Scheinehen aus fremdenpolizeilicher Sicht, ZBl 84/1983 p. 425, 432 ss; Susanne Diekmann, Familienrechtliche Probleme sogenannter Scheinehen im deutschen Recht unter Einbeziehung des österreichischen und schweizerischen Zivilrechts, Francfort-sur-le-Main 1991, p. 174 ss). En outre,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97 consid. 3b et 3c p. 102). b) D'après le dossier, le recourant est arrivé en Suisse le 18 février 1995, au bénéfice d'une autorisation d'y séjourner trois mois sans prolongation pour se marier, et il a immédiatement travaillé. Dès lors, le mariage était pour lui le seul moyen de rester en Suisse et d'y garder son emploi. L'intéressé, qui n'a pas passé la nuit de noces avec sa femme, a quitté le domicile conjugal quinze jours après le mariage et, depuis lors, les époux M.________ n'ont pas vécu ensemble, même s'ils ont essayé de sauver les apparences. C'est dire que la vie commune - pour autant qu'elle ait réellement existé - a été exceptionnellement brève. Les époux M.________ n'avaient pas cohabité avant le mariage et ils admettent qu'ils n'ont pas d'intérêts communs. Par ailleurs, le recourant a déclaré vouloir garder son adresse principale à La Tour-de-Peilz afin que ses enfants puissent venir en Suisse. Enfin, les motifs professionnels avancés pour justifier la séparation du couple M.________ ne sont pas convaincants. En effet, l'intéressé a quitté La Tour-de-Peilz pour s'installer dans une chambre à X.________, son lieu de travail étant à Y.________. Toutefois, on ne comprend pas que les époux M.________ n'aient pas plutôt cherché un logement à proximité immédiate de Y.________ - qui, au demeurant, n'est pas si loin de La Tour-de-Peilz - d'autant plus que la femme du recourant ne travaillait apparemment qu'à temps partiel, avant de bénéficier d'une rente d'invalidité, et avait donc des obligations professionnelles moins astreignantes que son mari. On ne voit pas non plus pourquoi l'intéressé n'a pas réintégré le domicile conjugal quand il s'est trouvé au chômage. L'ensemble de ces éléments constitue un faisceau d'indices permettant de conclure qu'en l'espèce, il n'y a pas eu volonté de créer une véritable union conjugale.</w:t>
      </w:r>
    </w:p>
    <w:p>
      <w:r>
        <w:rPr>
          <w:b/>
        </w:rPr>
        <w:t>E. 5</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