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2P.296/2006 vom 28. März 2007</w:t>
      </w:r>
    </w:p>
    <w:p>
      <w:r>
        <w:t>Bundesgericht, 2007-03-28, FR</w:t>
      </w:r>
    </w:p>
    <w:p>
      <w:r>
        <w:rPr>
          <w:b/>
        </w:rPr>
        <w:t xml:space="preserve">Quelle: </w:t>
      </w:r>
      <w:r>
        <w:t>https://mcp.opencaselaw.ch/entscheid/bger_2P.296_2006</w:t>
      </w:r>
    </w:p>
    <w:p>
      <w:r>
        <w:t>FR: TF 2P.296/2006 du 28 mars 2007</w:t>
      </w:r>
    </w:p>
    <w:p>
      <w:r>
        <w:t>IT: TF 2P.296/2006 del 28 marzo 2007</w:t>
      </w:r>
    </w:p>
    <w:p>
      <w:pPr>
        <w:pStyle w:val="Heading2"/>
      </w:pPr>
      <w:r>
        <w:t>Regeste</w:t>
      </w:r>
    </w:p>
    <w:p>
      <w:r>
        <w:t>réinvestissement; gain immobilier suite à la vente du 26 avril 1994 | Finances publiques &amp; droit fiscal</w:t>
      </w:r>
    </w:p>
    <w:p>
      <w:pPr>
        <w:pStyle w:val="Heading2"/>
      </w:pPr>
      <w:r>
        <w:t>Erwägungen</w:t>
      </w:r>
    </w:p>
    <w:p>
      <w:r>
        <w:rPr>
          <w:b/>
        </w:rPr>
        <w:t>E. 1.1</w:t>
      </w:r>
    </w:p>
    <w:p>
      <w:r>
        <w:t>La loi du 17 juin 2005 sur le Tribunal fédéral (LTF; RS 173.110) est entrée en vigueur le 1er janvier 2007 (RO 2006 p. 1205 ss, 1242). L'acte attaqué ayant été rendu avant cette date, la procédure reste régie par la loi fédérale d'organisation judiciaire du 16 décembre 1943 (ci-après: OJ; art. 132 al. 1 LTF ).</w:t>
      </w:r>
    </w:p>
    <w:p>
      <w:r>
        <w:rPr>
          <w:b/>
        </w:rPr>
        <w:t>E. 1.2</w:t>
      </w:r>
    </w:p>
    <w:p>
      <w:r>
        <w:t>Déposées en temps utile contre une décision finale prise en dernière instance cantonale, qui ne peut être attaquée que par la voie du recours de droit public et qui touche la recourante dans ses intérêts juridiquement protégés, les écritures du 17 et du 25 octobre 2006 sont en principe recevables comme recours de droit public ( art. 84 ss OJ ). En revanche, l'écriture du 10 janvier 2007 est tardive et n'a pas à être prise en considération. S'agissant de la durée de la procédure devant le Tribunal administratif, on peut toutefois relever que le grief de retard injustifié serait de toute manière voué à l'échec. En effet, la recourante ne prétend pas être intervenue auprès de l'autorité intimée pour s'inquiéter de l'avancement de la procédure, de sorte qu'elle ne peut, en vertu du principe de la bonne foi ( art. 5 al. 3 Cst. ), soulever ce grief une fois l'arrêt rendu (cf. ATF 125 V 373 consid. 2b/aa p. 375/376). Il n'y aurait au demeurant pas lieu de la dispenser du paiement des intérêts, qu'elle aurait du reste pu éviter en payant l'impôt litigieux; celui-ci lui aurait été remboursé dans le cas où sa contestation aurait été couronnée de succès.</w:t>
      </w:r>
    </w:p>
    <w:p>
      <w:r>
        <w:rPr>
          <w:b/>
        </w:rPr>
        <w:t>E. 1.3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En l'occurrence, outre qu'elle dénonce le défaut d'indication des voies de droit, la recourante se plaint implicitement d'arbitraire dans la constatation des faits. Il est très douteux que le recours satisfasse aux exigences de motivation rappelées ci-dessus. La question peut toutefois demeurer indécise, du moment que le recours doit de toute manière être rejeté sur le fond.</w:t>
      </w:r>
    </w:p>
    <w:p>
      <w:r>
        <w:rPr>
          <w:b/>
        </w:rPr>
        <w:t>E. 2</w:t>
      </w:r>
    </w:p>
    <w:p>
      <w:r>
        <w:t>En ce qui concerne la prescription - qui, en règle générale, est examinée d'office lorsqu'il s'agit d'une créance de droit public à l'égard d'un particulier ( ATF 106 Ib 357 consid. 3a p. 364) -, il est constant que le délai absolu de douze ans prévu à l'art. 98a al. 3 aLI arrivait à échéance le 31 décembre 2006. L'autorité intimée a statué le 26 septembre 2006, soit avant ce terme. Quand bien même il serait doté de l'effet suspensif - ce qui n'est pas le cas en l'espèce -, le dépôt d'un recours de droit public n'a pas pour effet que la prescription du droit de taxer continuerait à courir (cf. ATF 106 Ia 155 consid. 5 p. 159/160; 2P.3/1995, RF 52/1997 p. 41 consid. 4b). Sous réserve du cas où le recours de droit public est admis et la décision attaquée annulée, ce moyen de droit reste donc sans incidence sur la prescription du droit de taxer. Il s'ensuit que, dans le cas particulier, la prescription n'est pas acquise.</w:t>
      </w:r>
    </w:p>
    <w:p>
      <w:r>
        <w:rPr>
          <w:b/>
        </w:rPr>
        <w:t>E. 3.1</w:t>
      </w:r>
    </w:p>
    <w:p>
      <w:r>
        <w:t>La recourante reproche à l'autorité intimée d'avoir considéré qu'il n'était pas établi qu'elle voulait affecter le terrain en question à sa propre habitation, alors que plusieurs pièces produites par elle démontreraient le contraire. Ce faisant, elle soulève implicitement le grief d'arbitraire dans l'appréciation des preuves et la constatation des faits.</w:t>
      </w:r>
    </w:p>
    <w:p>
      <w:r>
        <w:rPr>
          <w:b/>
        </w:rPr>
        <w:t>E. 3.2</w:t>
      </w:r>
    </w:p>
    <w:p>
      <w:r>
        <w:t>Le Tribunal fédéral ne qualifie d'arbitraire (sur cette notion, cf. ATF 129 I 8 consid. 2.1 p. 9 et la jurisprudence citée) l'appréciation des preuves que si l'autorité a admis ou nié un fait en se mettant en contradiction évidente avec les pièces et les éléments de son dossier. Une jurisprudence constante reconnaît au juge du fait un large pouvoir d'appréciation en ce domaine ( ATF 120 Ia 31 consid. 4b p. 40 et les références citées). Le Tribunal fédéral n'intervient, pour violation de l' art. 9 Cst. ( art. 4 aCst. ), que si le juge cantonal a abusé de ce pouvoir, en particulier lorsqu'il méconnaît des preuves pertinentes ou qu'il n'en tient arbitrairement pas compte ( ATF 118 Ia 28 consid. 1b p. 30; 112 Ia 369 consid. 3 p. 371; 100 Ia 119 consid. 4 p. 127), lorsque des constatations de faits sont manifestement fausses ( ATF 101 Ia 298 consid. 5 p. 306; 98 Ia 140 consid. 3a p. 142 et la jurisprudence citée), enfin lorsque l'appréciation des preuves est tout à fait insoutenable ( ATF 118 Ia 28 consid. 1b p. 30; 116 Ia 85 consid. 2b p. 88).</w:t>
      </w:r>
    </w:p>
    <w:p>
      <w:r>
        <w:rPr>
          <w:b/>
        </w:rPr>
        <w:t>E. 3.3</w:t>
      </w:r>
    </w:p>
    <w:p>
      <w:r>
        <w:t>S'agissant de l'aliénation d'un terrain non bâti, l'art. 46bis al. 6 aLI subordonne le report de l'imposition du gain immobilier à la condition que le contribuable "rende vraisemblable qu'il en avait fait l'acquisition dans le but d'y construire son habitation". L'autorité intimée a donc examiné si la volonté de bâtir un logement sur la parcelle existait déjà lors de son acquisition, c'est-à-dire au moment de la donation, en 1973. Compte tenu notamment du fait que les premières démarches en vue de la construction ont été accomplies plus de dix ans après, alors que le terrain était constructible dès le départ, elle a considéré que cette volonté n'était pas établie en 1973, ce qui ne saurait être qualifié d'arbitraire. L'autorité intimée ne s'est en revanche pas prononcée sur l'existence de cette volonté à une date ultérieure, question qui n'était pas déterminante sous l'angle de l'art. 46bis al. 6 aLI. Dès lors, le grief de la recourante tombe à faux.</w:t>
      </w:r>
    </w:p>
    <w:p>
      <w:r>
        <w:rPr>
          <w:b/>
        </w:rPr>
        <w:t>E. 4</w:t>
      </w:r>
    </w:p>
    <w:p>
      <w:r>
        <w:t>La recourante soutient encore que la décision attaquée est affectée d'un vice de forme, du fait qu'elle ne contient pas d'indication des voies de droit. Ce grief est mal fondé: la décision entreprise pouvait uniquement être contestée par la voie du recours de droit public, qui est une voie de droit extraordinaire ( ATF 107 Ia 269 consid. 1 p. 271); or, l'indication d'une voie de droit extraordinaire n'est pas obligatoire, notamment au regard de l'art. 56 al. 1 de la loi vaudoise du 18 décembre 1989 sur la juridiction et la procédure administratives (LPJA, RS/VD 173.36; Benoît Bovay, Procédure administrative, Berne 2000, p. 270 s.).</w:t>
      </w:r>
    </w:p>
    <w:p>
      <w:r>
        <w:rPr>
          <w:b/>
        </w:rPr>
        <w:t>E. 5</w:t>
      </w:r>
    </w:p>
    <w:p>
      <w:r>
        <w:t>Les considérants qui précèdent conduisent au rejet du recours dans la mesure où il est recevable. Succombant, la recourante supporte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