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2P.296/2001 vom 20. März 2002</w:t>
      </w:r>
    </w:p>
    <w:p>
      <w:r>
        <w:t>Bundesgericht, 2002-03-20, FR</w:t>
      </w:r>
    </w:p>
    <w:p>
      <w:r>
        <w:rPr>
          <w:b/>
        </w:rPr>
        <w:t xml:space="preserve">Quelle: </w:t>
      </w:r>
      <w:r>
        <w:t>https://mcp.opencaselaw.ch/entscheid/bger_2P.296_2001</w:t>
      </w:r>
    </w:p>
    <w:p>
      <w:r>
        <w:t>FR: TF 2P.296/2001 du 20 mars 2002</w:t>
      </w:r>
    </w:p>
    <w:p>
      <w:r>
        <w:t>IT: TF 2P.296/2001 del 20 marzo 2002</w:t>
      </w:r>
    </w:p>
    <w:p>
      <w:pPr>
        <w:pStyle w:val="Heading2"/>
      </w:pPr>
      <w:r>
        <w:t>Regeste</w:t>
      </w:r>
    </w:p>
    <w:p>
      <w:r>
        <w:t>Instruction et formation professionnelle</w:t>
      </w:r>
    </w:p>
    <w:p>
      <w:pPr>
        <w:pStyle w:val="Heading2"/>
      </w:pPr>
      <w:r>
        <w:t>Erwägungen</w:t>
      </w:r>
    </w:p>
    <w:p>
      <w:r>
        <w:rPr>
          <w:b/>
        </w:rPr>
        <w:t>E. 1.1</w:t>
      </w:r>
    </w:p>
    <w:p>
      <w:r>
        <w:t>Le Tribunal fédéral examine d'office et librement la recevabilité des recours qui lui sont soumis ( ATF 127 IV 148 consid. 1a p. 151; 127 I 92 consid. 1 p. 93; 127 II 198 consid. 2 p. 201 et la jurisprudence citée).</w:t>
      </w:r>
    </w:p>
    <w:p>
      <w:r>
        <w:rPr>
          <w:b/>
        </w:rPr>
        <w:t>E. 1.2</w:t>
      </w:r>
    </w:p>
    <w:p>
      <w:r>
        <w:t>L'acte de recours doit être déposé devant le Tribunal fédéral dans les trente jours dés la communication, selon le droit cantonal, de l'arrêté ou de la décision attaqués ( art. 89 al. 1 OJ ). Lorsqu'un courrier recommandé (lettre signature) ne peut être remis à son destinataire et qu'un avis de retrait est déposé dans sa boîte aux lettres ou dans sa case postale, l'envoi est réputé notifié au moment où le courrier est retiré à la poste. Si ce retrait n'intervient pas durant le délai de garde de sept jours, l'envoi est considéré comme notifié le dernier jour de ce délai, pour autant que le destinataire pouvait s'attendre à un envoi. Selon la jurisprudence, ce délai de garde de sept jours n'est pas prolongé lorsque la poste permet de retirer le courrier dans un délai plus long, par exemple à la suite d'une demande de garde. Des accords particuliers avec la Poste ne permettent pas de repousser l'échéance de la notification, présumée intervenue sept jours après la réception ( ATF 127 I 31 consid. 2a/aa p. 34; 123 III 492 consid. 1 p. 493; 119 V 89 consid. 4b p. 94 et les références citées).</w:t>
      </w:r>
    </w:p>
    <w:p>
      <w:r>
        <w:rPr>
          <w:b/>
        </w:rPr>
        <w:t>E. 1.3</w:t>
      </w:r>
    </w:p>
    <w:p>
      <w:r>
        <w:t>Dans le cas particulier, la décision de la Commission de recours de l'Université a été expédiée le 25 septembre 2001 et aurait dû être notifiée à sa destinataire le 26 septembre 2001. Le 24 septembre 2001, la recourante a cependant fait bloquer son courrier jusqu'au 23 octobre 2001, dans la perspective d'un séjour de vacances à l'étranger. De retour à Genève plus tôt que prévu, elle a retiré le pli litigieux le 12 octobre 2001. Conformément aux principes jurisprudentiels rappelés ci-dessus (consid. 1.2), la décision dont est recours doit être considérée comme notifiée le 3 octobre 2001, soit à l'échéance du délai de garde, et non pas le 12 octobre 2001, date du retrait effectif. Partant, le délai de recours de trente jours de l' art. 89 al. 1 OJ est venu à échéance le 2 novembre 2001 et le recours déposé le 11 novembre 2001 est tardif. Comme la recourante ne pouvait pas ignorer qu'elle était susceptible de recevoir la décision de la Commission de recours de l'Université pendant son absence, il lui incombait de prendre les dispositions utiles pour être informée sans délai de son contenu et disposer ainsi de l'entier du délai de recours de trente jours pour agir. Le recours est ainsi irrecevable.</w:t>
      </w:r>
    </w:p>
    <w:p>
      <w:r>
        <w:rPr>
          <w:b/>
        </w:rPr>
        <w:t>E. 2</w:t>
      </w:r>
    </w:p>
    <w:p>
      <w:r>
        <w:t>A supposer qu'il ait été déposé à temps, le recours aurait de toute façon dû être rejeté.</w:t>
      </w:r>
    </w:p>
    <w:p>
      <w:r>
        <w:rPr>
          <w:b/>
        </w:rPr>
        <w:t>E. 2.1</w:t>
      </w:r>
    </w:p>
    <w:p>
      <w:r>
        <w:t>Ni la Commission de recours, ni la Faculté de psychologie et des sciences de l'éducation n'ont commis d'erreur d'appréciation ou n'ont fait preuve d'arbitraire dans l'application de l'art. 1 ch. 4 du règlement de la licence en psychologie entré en vigueur en octobre 1997. La deuxième phrase du ch. 4 prévoit expressément que l'admission ne peut être que conditionnelle en cas d'élimination d'une autre faculté ou de deux changements de faculté. Elle ne prend donc pas en considération les causes de l'élimination ou du changement et ne vise pas exclusivement les étudiants non motivés ou inaptes. Cette disposition ne laisse pas de liberté d'appréciation à l'autorité d'application. Des circonstances exceptionnelles telles que l'empêchement de suivre un programme ou de se présenter à temps aux examens en raison de problèmes de nature psychologique, peuvent être invoquées dans la procédure d'opposition aux décisions d'élimination ou d'exmatriculation. En l'espèce, la Faculté de psychologie et des sciences de l'éducation a tenu compte des difficultés rencontrées par la recourante en admettant de l'inscrire conditionnellement, malgré son parcours universitaire ponctué de deux décisions d'élimination et de deux décisions d'exmatriculation. Dans le cadre du pouvoir d'examen conféré par l'art. 1 ch. 4 première phrase du règlement de la licence en psychologie, elle aurait eu en effet la possibilité de refuser purement et simplement son admission. Elle a ainsi pris en considération le fait que la recourante ait pu se trouver dans l'impossibilité de défendre ses intérêts efficacement et en temps utile. La recourante n'est donc pas victime d'un traitement discriminatoire. Pour le surplus, elle n'établit pas que d'autres étudiants, qui se seraient trouvés dans la même situation, auraient été admis sans conditions.</w:t>
      </w:r>
    </w:p>
    <w:p>
      <w:r>
        <w:rPr>
          <w:b/>
        </w:rPr>
        <w:t>E. 2.2</w:t>
      </w:r>
    </w:p>
    <w:p>
      <w:r>
        <w:t>L'autorité intimée, rattachée au pouvoir judiciaire cantonal, est une commission paritaire. Le Tribunal fédéral, sous l'angle de l' art. 30 al. 1 Cst. et la Cour européenne des droits de l'homme, sous l'angle de l'art. 6 § 1 CEDH , n'ont pas vu de violation du principe de l'indépendance et de l'impartialité dans l'existence des autorités judiciaires paritaires ou des tribunaux mixtes ( ATF 126 I 235 consid. 2 p. 236 ss et les références citées). La seule présence d'un représentant de l'Université au sein de la Commission de recours ne saurait être constitutive d'une violation des garanties constitutionnelles d'impartialité et d'indépendance de l'autorité intimée. Au demeurant, la recourante n'invoque aucun élément concret permettant de mettre en doute la probité et l'objectivité du représentant de l'Université.</w:t>
      </w:r>
    </w:p>
    <w:p>
      <w:r>
        <w:rPr>
          <w:b/>
        </w:rPr>
        <w:t>E. 3</w:t>
      </w:r>
    </w:p>
    <w:p>
      <w:r>
        <w:t>Au vu de l'issue du recours, les frais judiciaires doivent être mis à la charge de la recourante ( art. 156 al. 1, 153 et 153a 0 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