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2P.290/2002 vom 7. April 2003</w:t>
      </w:r>
    </w:p>
    <w:p>
      <w:r>
        <w:t>Bundesgericht, 2003-04-07, DE</w:t>
      </w:r>
    </w:p>
    <w:p>
      <w:r>
        <w:rPr>
          <w:b/>
        </w:rPr>
        <w:t xml:space="preserve">Quelle: </w:t>
      </w:r>
      <w:r>
        <w:t>https://mcp.opencaselaw.ch/entscheid/bger_2P.290_2002</w:t>
      </w:r>
    </w:p>
    <w:p>
      <w:r>
        <w:t>FR: TF 2P.290/2002 du 7 avril 2003</w:t>
      </w:r>
    </w:p>
    <w:p>
      <w:r>
        <w:t>IT: TF 2P.290/2002 del 7 aprile 2003</w:t>
      </w:r>
    </w:p>
    <w:p>
      <w:pPr>
        <w:pStyle w:val="Heading2"/>
      </w:pPr>
      <w:r>
        <w:t>Erwägungen</w:t>
      </w:r>
    </w:p>
    <w:p>
      <w:r>
        <w:rPr>
          <w:b/>
        </w:rPr>
        <w:t>E. 1.1</w:t>
      </w:r>
    </w:p>
    <w:p>
      <w:r>
        <w:t>Der Entscheid des Verwaltungsgerichts des Kantons Zürich ist ein kantonal letztinstanzlicher Endentscheid, gegen den auch auf Bundesebene kein ordentliches Rechtsmittel zur Verfügung steht. Die staatsrechtliche Beschwerde ist somit zulässig ( Art. 86 Abs. 1 OG ).</w:t>
      </w:r>
    </w:p>
    <w:p>
      <w:r>
        <w:rPr>
          <w:b/>
        </w:rPr>
        <w:t>E. 1.2</w:t>
      </w:r>
    </w:p>
    <w:p>
      <w:r>
        <w:t>Der Beschwerdeführer, dessen Gesuch um Wiederherstellung der Einsprachefrist abgewiesen wurde, ist zur staatsrechtlichen Beschwerde legitimiert ( Art. 88 OG ).</w:t>
      </w:r>
    </w:p>
    <w:p>
      <w:r>
        <w:rPr>
          <w:b/>
        </w:rPr>
        <w:t>E. 1.3</w:t>
      </w:r>
    </w:p>
    <w:p>
      <w:r>
        <w:t>Die staatsrechtliche Beschwerde ist von hier nicht zutreffenden Ausnahmen abgesehen lediglich kassatorischer Natur. Soweit der Beschwerdeführer mehr verlangt als die (sinngemässe) Aufhebung des angefochtenen Entscheids, kann auf die Beschwerde nicht eingetreten werden ( BGE 126 II 377 E. 8c S. 395).</w:t>
      </w:r>
    </w:p>
    <w:p>
      <w:r>
        <w:rPr>
          <w:b/>
        </w:rPr>
        <w:t>E. 1.4</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Macht der Beschwerdeführer eine Verletzung des Willkürverbots geltend, muss er anhand der angefochtenen Subsumtion im einzelnen darlegen, inwiefern der Entscheid an einem qualifizierten und offensichtlichen Mangel leidet. Inwieweit die vorliegende Eingabe diesen Anforderungen an die Begründung genügt, kann indessen dahingestellt bleiben, da die Beschwerde ohnehin nicht durchdringt.</w:t>
      </w:r>
    </w:p>
    <w:p>
      <w:r>
        <w:rPr>
          <w:b/>
        </w:rPr>
        <w:t>E. 2</w:t>
      </w:r>
    </w:p>
    <w:p>
      <w:r>
        <w:t>Zunächst stellt sich die Frage, ob die Verfügung des kantonalen Steueramts Zürich vom 9. Januar 2001 dem Beschwerdeführer rechtsgültig eröffnet wurde.</w:t>
      </w:r>
    </w:p>
    <w:p>
      <w:r>
        <w:rPr>
          <w:b/>
        </w:rPr>
        <w:t>E. 2.1</w:t>
      </w:r>
    </w:p>
    <w:p>
      <w:r>
        <w:t>Eine eingeschriebene Postsendung gilt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w:t>
      </w:r>
    </w:p>
    <w:p>
      <w:r>
        <w:rPr>
          <w:b/>
        </w:rPr>
        <w:t>E. 2.2</w:t>
      </w:r>
    </w:p>
    <w:p>
      <w:r>
        <w:t>Im vorliegenden Fall wurde die Verfügung unbestrittenermassen aufgrund der in den Briefkasten gelegten Abholungseinladung am 12. Januar 2001 der geschiedenen Ehefrau des Beschwerdeführers ausgehändigt. Dass die geschiedene Ehegattin während des Aufenthalts des Beschwerdeführers im Strafvollzug die ihm zugestellten Postsendungen entgegennahm, wird vom Beschwerdeführer nicht in Frage gestellt. Hingegen macht er geltend, einerseits habe er seine geschiedene Ehegattin angewiesen, eingeschriebene Postsendungen zurückzuweisen, und andererseits sei die fragliche Verfügung nicht an ihn weitergeleitet worden, weshalb er davon nicht Kenntnis hatte.</w:t>
      </w:r>
    </w:p>
    <w:p>
      <w:r>
        <w:rPr>
          <w:b/>
        </w:rPr>
        <w:t>E. 2.3</w:t>
      </w:r>
    </w:p>
    <w:p>
      <w:r>
        <w:t>Unter den geschilderten Umständen muss, wenn keine schriftliche Vollmacht vorliegt, von einer stillschweigenden Bevollmächtigung der geschiedenen Ehefrau ausgegangen werden. Letztere hat unwidersprochen Postsendungen für den Beschwerdeführer entgegengenommen, was von diesem nicht beanstandet wurde. Auch im vorliegenden Verfahren macht er nicht geltend, sie sei dazu nicht befugt gewesen. Die Post durfte daher eine konkludente Ermächtigung der geschiedenen Ehefrau annehmen und ihr die an den Beschwerdeführer adressierte Postsendung aushändigen. Dass die geschiedene Ehegattin die angebliche Anweisung des Beschwerdeführers, eingeschriebene Postsendungen nicht entgegenzunehmen, nicht beachtet hat, muss sich der Beschwerdeführer anrechnen lassen. Dasselbe gilt für den Umstand, dass die geschiedene Ehegattin die Sendung offenbar nicht an den Beschwerdeführer weitergeleitet hat. Selbst wenn das kantonale Steueramt Zürich vom Aufenthalt des Beschwerdeführers im Strafvollzug Kenntnis hatte, durfte es die Verfügung an die Wohnadresse des Beschwerdeführers zustellen, da der Beschwerdeführer dem Steueramt keine anderslautende Anweisung hatte zukommen lassen (seine Mitteilung bestand nur in einem Ersuchen um Stundung), sondern - im Gegenteil - eine Person zur Entgegennahme von Postsendungen an seiner Wohnadresse ermächtigt hatte. Dass dem Beschwerdeführer offenbar Zahlungsbefehle direkt in die Strafanstalt zugestellt wurden, ändert daran nichts. Die Verfügung vom 9. Januar 2001 wurde dem Beschwerdeführer somit am 12. Januar 2001 rechtsgültig eröffnet. Dementsprechend ist die dreissigtägige Einsprachefrist ( § 140 StG /ZH) am 12. Februar 2001 unbenutzt abgelaufen.</w:t>
      </w:r>
    </w:p>
    <w:p>
      <w:r>
        <w:rPr>
          <w:b/>
        </w:rPr>
        <w:t>E. 3.1</w:t>
      </w:r>
    </w:p>
    <w:p>
      <w:r>
        <w:t>§ 15 Abs. 1 der Verordnung vom 1. April 1998 zum zürcherischen Steuergesetz (VOStG) sieht eine Fristwiederherstellung vor, wenn der Gesuchsteller oder sein Vertreter ohne Verschulden entweder von der Fristansetzung nicht rechtzeitig Kenntnis erhalten hat oder durch schwerwiegende Gründe an der Einhaltung der Frist verhindert worden ist. Als schwerwiegende Gründe gelten z.B. Krankheit, Todesfall in der Familie, Landesabwesenheit oder Militärdienst. Das Wiederherstellungsgesuch ist spätestens innert dreissig Tagen nach Wegfall des Hindernisses einzureichen und innert der gleichen Frist ist die versäumte Handlung nachzuholen.</w:t>
      </w:r>
    </w:p>
    <w:p>
      <w:r>
        <w:rPr>
          <w:b/>
        </w:rPr>
        <w:t>E. 3.2</w:t>
      </w:r>
    </w:p>
    <w:p>
      <w:r>
        <w:t>Nachdem die Verfügung rechtsgültig zugestellt wurde und sich der Beschwerdeführer das Verhalten der geschiedenen Ehefrau anrechnen lassen muss, kann er nicht geltend machen, er habe ohne Verschulden von der Fristansetzung nicht rechtzeitig Kenntnis erhalten. Selbst wenn der Strafvollzug als schwerwiegender Hinderungsgrund im Sinn von § 15 Abs. 1 VOStG betrachtet würde, wäre dieser spätestens mit der Entlassung des Beschwerdeführers am 23. Juli 2001 weggefallen. Die Frist für das Wiederherstellungsgesuch ist somit am 22. August 2001 abgelaufen, weshalb das am 6. Oktober 2001 gestellte Gesuch des Beschwerdeführers verspätet war.</w:t>
      </w:r>
    </w:p>
    <w:p>
      <w:r>
        <w:rPr>
          <w:b/>
        </w:rPr>
        <w:t>E. 4</w:t>
      </w:r>
    </w:p>
    <w:p>
      <w:r>
        <w:t>Zusammenfassend ergibt sich, dass der angefochtene Entscheid weder willkürlich noch überspitzt formalistisch ist. Die staatsrechtliche Beschwerde erweist sich somit als offensichtlich unbegründet und ist im vereinfachten Verfahren nach Art. 36a OG abzuweisen, soweit darauf eingetreten werden kann.</w:t>
      </w:r>
    </w:p>
    <w:p>
      <w:r>
        <w:t>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