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2P.28/2005 vom 25. Januar 2005</w:t>
      </w:r>
    </w:p>
    <w:p>
      <w:r>
        <w:t>Bundesgericht, 2005-01-25, DE</w:t>
      </w:r>
    </w:p>
    <w:p>
      <w:r>
        <w:rPr>
          <w:b/>
        </w:rPr>
        <w:t xml:space="preserve">Quelle: </w:t>
      </w:r>
      <w:r>
        <w:t>https://mcp.opencaselaw.ch/entscheid/bger_2P.28_2005</w:t>
      </w:r>
    </w:p>
    <w:p>
      <w:r>
        <w:t>FR: TF 2P.28/2005 du 25 janvier 2005</w:t>
      </w:r>
    </w:p>
    <w:p>
      <w:r>
        <w:t>IT: TF 2P.28/2005 del 25 gennaio 2005</w:t>
      </w:r>
    </w:p>
    <w:p>
      <w:pPr>
        <w:pStyle w:val="Heading2"/>
      </w:pPr>
      <w:r>
        <w:t>Erwägungen</w:t>
      </w:r>
    </w:p>
    <w:p>
      <w:r>
        <w:rPr>
          <w:b/>
        </w:rPr>
        <w:t>E. 1.1</w:t>
      </w:r>
    </w:p>
    <w:p>
      <w:r>
        <w:t>Gemäss Art. 52 des Bundesgesetzes vom 25. Juni 1982 über die berufliche Alters-, Hinterlassenen- und Invalidenvorsorge (BVG; SR 831.40) sind alle mit der Verwaltung, Geschäftsführung oder Kontrolle der Vorsorgeeinrichtung betrauten Personen für den Schaden verantwortlich, den sie ihr absichtlich oder fahrlässig zufügen.</w:t>
      </w:r>
    </w:p>
    <w:p>
      <w:r>
        <w:t>Nach Art. 56 Abs. 1 BVG stellt der Sicherheitsfonds u.a. die gesetzlichen Leistungen von zahlungsunfähig gewordenen oder im Falle von vergessenen Guthaben liquidierter Vorsorgeeinrichtungen sicher (lit. b); ferner stellt er die über die gesetzlichen Leistungen hinausgehenden reglementarischen Leistungen von zahlungsunfähig gewordenen Vorsorgeeinrichtungen sicher, soweit diese Leistungen auf Vorsorgeverhältnissen beruhen, auf die das FZG anwendbar ist (lit. c).</w:t>
      </w:r>
    </w:p>
    <w:p>
      <w:r>
        <w:t>Laut Art. 56a BVG (in der seit 1. Januar 1997 geltenden Fassung) hat der Sicherheitsfonds gegenüber Personen, die für die Zahlungsunfähigkeit der Vorsorgeeinrichtung oder des Versichertenkollektivs ein Verschulden trifft, ein Rückgriffsrecht im Umfang der sichergestellten Leistungen (Abs. 1). Unrechtmässig bezogene Leistungen sind dem Sicherheitsfonds zurückzuerstatten (Abs. 2).</w:t>
      </w:r>
    </w:p>
    <w:p>
      <w:r>
        <w:rPr>
          <w:b/>
        </w:rPr>
        <w:t>E. 1.2</w:t>
      </w:r>
    </w:p>
    <w:p>
      <w:r>
        <w:t>Gemäss Art. 73 Abs. 1 BVG bezeichnet jeder Kanton ein Gericht, das als letzte kantonale Instanz über Streitigkeiten zwischen Vorsorgeeinrichtungen, Arbeitgebern und Anspruchsberechtigten entscheidet. Laut Satz 2 dieser Bestimmung (in Kraft seit 1. Januar 1997) entscheidet es zudem über Verantwortlichkeitsansprüche nach Art. 52 und über den Rückgriff nach Art. 56a Abs. 1 BVG . Nach Art. 73 Abs. 4 BVG können die Entscheide der kantonalen Gerichte auf dem Wege der Verwaltungsgerichtsbeschwerde beim Eidgenössischen Versicherungsgericht angefochten werden.</w:t>
      </w:r>
    </w:p>
    <w:p>
      <w:r>
        <w:rPr>
          <w:b/>
        </w:rPr>
        <w:t>E. 1.3</w:t>
      </w:r>
    </w:p>
    <w:p>
      <w:r>
        <w:t>Das Berufsvorsorgegericht im Sinne von Art. 73 Abs. 1 Satz 2 BVG und Art. 73 Abs. 4 BVG ist zuständig zur Beurteilung von Verantwortlichkeitsklagen nach Art. 52 BVG , auch wenn sich der Sachverhalt vor dem 1. Januar 1997 verwirklicht hat. Ebenso hat das Eidgenössische Versicherungsgericht die Zuständigkeit des Berufsvorsorgegerichts zur Beurteilung von Rückforderungsklagen des Sicherheitsfonds im Sinne von Art. 56a BVG bejaht, selbst wenn sich der Sachverhalt vor dem 1. Januar 1997 verwirklicht hat ( BGE 130 V 277 ).</w:t>
      </w:r>
    </w:p>
    <w:p>
      <w:r>
        <w:rPr>
          <w:b/>
        </w:rPr>
        <w:t>E. 2.1</w:t>
      </w:r>
    </w:p>
    <w:p>
      <w:r>
        <w:t>Das von der Beschwerdegegnerin beim Sozialversicherungsgericht des Kantons Zürich gestützt auf Art. 56a BVG gegen die Beschwerdeführerin eingeleitete Klageverfahren (angefochtener Entscheid E. 1.2) betrifft ausschliesslich die berufliche Vorsorge und damit Sozialversicherungsrecht des Bundes (BVG).</w:t>
      </w:r>
    </w:p>
    <w:p>
      <w:r>
        <w:rPr>
          <w:b/>
        </w:rPr>
        <w:t>E. 2.2</w:t>
      </w:r>
    </w:p>
    <w:p>
      <w:r>
        <w:t>Das kantonale Sozialversicherungsgericht hat den angefochtenen Entscheid denn auch ausschliesslich gestützt auf Bundesrecht damit begründet, dass die Beschwerdeführerin als Beklagte und Schuldnerin nach Art. 56a BVG für die geltend gemachte (Regress-)Forderung grundsätzlich in Frage komme und damit nach Art. 73 Abs. 1 BVG einklagbar sei; damit sei ihre Passivlegitimation gegeben.</w:t>
      </w:r>
    </w:p>
    <w:p>
      <w:r>
        <w:rPr>
          <w:b/>
        </w:rPr>
        <w:t>E. 2.3</w:t>
      </w:r>
    </w:p>
    <w:p>
      <w:r>
        <w:t>Ob die Beschwerdeführerin auf Grund der von der Beschwerdegegnerin behaupteten Verbindungen der Beschwerdeführerin (als Rechtsnachfolgerin der C.________-Lebensversicherungsgesellschaft, Zürich, mit welcher gestützt auf entsprechende Anschlussvereinbarungen Versicherungsverträge abgeschlossen worden sind: Urteil des Sozialversicherungsgerichts des Kantons Zürich vom 25. November 2004 i.S. B.________-Sammelstiftung in Liquidation gegen die Beschwerdeführerin, E. 3.2.1) mit der B.________-Sammelstiftung zu dem in Art. 56a Abs. 1 BVG umschriebenen - und gegenüber Art. 52 BVG erweiterten ( BGE 130 V 277 E. 2.1) - Kreis von natürlichen oder juristischen Personen zählt und somit von der Stiftung Sicherheitsfonds BVG klageweise ins Recht gefasst werden kann, ist eine Frage, die im Verfahren der ursprünglichen Verwaltungsgerichtsbarkeit, d.h. im verwaltungsrechtlichen Klageverfahren - welches sich in aller Regel nach zivilprozessualen Grundsätzen richtet (vgl. Art. 120 OG ) - nicht prozessrechtlicher, sondern materiellrechtlicher Natur ist (Fritz Gygi, Bundesverwaltungsrechtspflege, 2. Aufl., Bern 1983, S. 149 f.). Ob der Beklagte passivlegitimiert ist, bzw. der "richtige" Beklagte ist, ist daher im Klageverfahren materiell zu entscheiden. Die fehlende Passivlegitimation in der Sache führt deshalb zur Abweisung der Klage (Michael Merker, Rechtsmittel, Klage und Normenkontrollverfahren nach dem aargauischen Gesetz über die Verwaltungsrechtspflege [VRPG] vom 9. Juli 1968, Diss. ZH 1998, N 13 zu § 61; Thomas Merkli/Arthur Aeschlimann/Ruth Herzog, Kommentar zum Gesetz vom 23. Mai 1989 über die Verwaltungsrechtspflege des Kantons Bern [VRPG; BSG 155.21], Bern 1997, N 30 zu Art. 12).</w:t>
      </w:r>
    </w:p>
    <w:p>
      <w:r>
        <w:rPr>
          <w:b/>
        </w:rPr>
        <w:t>E. 2.4</w:t>
      </w:r>
    </w:p>
    <w:p>
      <w:r>
        <w:t>Auch wenn das Sozialversicherungsgericht demgegenüber - wie aus seiner Begründung, wonach die Beschwerdeführerin als Schuldnerin für die gestützt auf Art. 56a BVG eingeklagte Forderung (lediglich) grundsätzlich in Frage komme und damit nach Art. 73 Abs. 1 BVG einklagbar sei, geschlossen werden kann - von einem rein formalen Parteibegriff ausgegangen ist, hat es für den angefochtenen Entscheid auf Bundesrecht und nicht auf (selbständiges) kantonales Recht abgestellt.</w:t>
      </w:r>
    </w:p>
    <w:p>
      <w:r>
        <w:rPr>
          <w:b/>
        </w:rPr>
        <w:t>E. 2.5</w:t>
      </w:r>
    </w:p>
    <w:p>
      <w:r>
        <w:t>Der angefochtene Beschluss ist somit ein auf öffentliches Recht des Bundes auf dem Gebiet der Sozialversicherung gestützter Teil- bzw. Zwischenentscheid, der gemäss Art. 128 OG mit Verwaltungsgerichtsbeschwerde beim Eidgenössischen Versicherungsgericht angefochten werden kann. Auf die lediglich subsidiäre staatsrechtliche Beschwerde ist daher nicht einzutreten. Im Übrigen kann die Beschwerdeführerin im Rahmen der Verwaltungsgerichtsbeschwerde vor Versicherungsgericht geltend machen, Bundesrecht sei zu Unrecht anstelle von kantonalem Recht angewandt worden.</w:t>
      </w:r>
    </w:p>
    <w:p>
      <w:r>
        <w:t>Mit der vorsorglichen Einreichung beider Rechtsmittel hat die Beschwerdeführerin in Kauf genommen, dass auf eine der Beschwerden nicht eingetreten werden kann. Sie hat daher die Kosten des vorliegenden Verfahrens zu tragen (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