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2P.276/2004 vom 1. März 2005</w:t>
      </w:r>
    </w:p>
    <w:p>
      <w:r>
        <w:t>Bundesgericht, 2005-03-01, FR</w:t>
      </w:r>
    </w:p>
    <w:p>
      <w:r>
        <w:rPr>
          <w:b/>
        </w:rPr>
        <w:t xml:space="preserve">Quelle: </w:t>
      </w:r>
      <w:r>
        <w:t>https://mcp.opencaselaw.ch/entscheid/bger_2P.276_2004</w:t>
      </w:r>
    </w:p>
    <w:p>
      <w:r>
        <w:t>FR: TF 2P.276/2004 du 1 mars 2005</w:t>
      </w:r>
    </w:p>
    <w:p>
      <w:r>
        <w:t>IT: TF 2P.276/2004 del 1 marzo 2005</w:t>
      </w:r>
    </w:p>
    <w:p>
      <w:pPr>
        <w:pStyle w:val="Heading2"/>
      </w:pPr>
      <w:r>
        <w:t>Regeste</w:t>
      </w:r>
    </w:p>
    <w:p>
      <w:r>
        <w:t>art. 9, 29 al. 1 Cst. (honoraires; assurance invalidité) | Santé &amp; sécurité sociale</w:t>
      </w:r>
    </w:p>
    <w:p>
      <w:pPr>
        <w:pStyle w:val="Heading2"/>
      </w:pPr>
      <w:r>
        <w:t>Erwägungen</w:t>
      </w:r>
    </w:p>
    <w:p>
      <w:r>
        <w:rPr>
          <w:b/>
        </w:rPr>
        <w:t>E. 1</w:t>
      </w:r>
    </w:p>
    <w:p>
      <w:r>
        <w:t>La loi cantonale traite des honoraires à son chapitre VI (art. 25 à 31 LAv). Selon l'art. 25 LAv, les prétentions pécuniaires des avocats envers leurs clients relèvent du droit privé. Quant à l'art. 26 LAv, intitulé "Juridiction", il a la teneur suivante: "1 Les contestations relatives aux honoraires et débours ressortissent au juge unique, au président de l'autorité judiciaire ou à la section du Tribunal cantonal qui a connu de la cause.</w:t>
      </w:r>
    </w:p>
    <w:p>
      <w:r>
        <w:rPr>
          <w:b/>
        </w:rPr>
        <w:t>E. 2</w:t>
      </w:r>
    </w:p>
    <w:p>
      <w:r>
        <w:t>Les contestations relatives à des affaires portées ou susceptibles d'être portées devant une autorité de la juridiction administrative cantonale ressortissent au Tribunal administratif.</w:t>
      </w:r>
    </w:p>
    <w:p>
      <w:r>
        <w:rPr>
          <w:b/>
        </w:rPr>
        <w:t>E. 2.1</w:t>
      </w:r>
    </w:p>
    <w:p>
      <w:r>
        <w:t>Le recourant fait valoir que l'art. 26 LAv institue des juridictions spéciales pour les litiges entre avocats et clients et ne saurait être tenu en échec par la référence au droit matériel opérée par l'art. 25 LAv; selon lui, le législateur fribourgeois a clairement instauré la compétence du Tribunal administratif pour trancher les litiges de droit privé concernant les affaires susceptibles d'être portées devant une autorité de la juridiction administrative cantonale. C'était le cas du mandat qui lui avait été confié par I.________, puisqu'il s'agissait d'apprécier les chances de succès d'un recours au Tribunal administratif en matière d'assurance-invalidité. D'après le recourant, le Président a commis un déni de justice, en rendant une décision d'irrecevabilité. En outre, ladite décision serait également entachée d'arbitraire, l'art. 26 al. 2 LAv n'étant pas sujet à interprétation, vu la clarté de son texte.</w:t>
      </w:r>
    </w:p>
    <w:p>
      <w:r>
        <w:rPr>
          <w:b/>
        </w:rPr>
        <w:t>E. 2.2</w:t>
      </w:r>
    </w:p>
    <w:p>
      <w:r>
        <w:t>Il convient de définir les notions de déni de justice et d'arbitraire.</w:t>
      </w:r>
    </w:p>
    <w:p>
      <w:r>
        <w:rPr>
          <w:b/>
        </w:rPr>
        <w:t>E. 2.2.1</w:t>
      </w:r>
    </w:p>
    <w:p>
      <w:r>
        <w:t>Selon la jurisprudence rendue en application de l' art. 4 aCst. , qui garde toute sa valeur sous l'empire de l' art. 29 al. 1 Cst. (arrêt 1P.432/2004 du 27 octobre 2004, consid. 2), l'autorité commet un déni de justice formel, contraire à cette dernière disposition, si elle refuse indûment de se prononcer sur une requête dont l'examen relève de sa compétence ( ATF 125 III 440 consid. 2a p. 441; 117 Ia 116 consid. 3a p. 117/118 et la jurisprudence citée). Lorsque, comme en l'espèce, la compétence de l'autorité dont la décision (ou l'absence de décision) est contestée est régie par des règles de rang inférieur à la constitution cantonale, le Tribunal fédéral n'en revoit l'interprétation et l'application que sous l'angle restreint de l'arbitraire ( ATF 128 I 3 consid. 2b p. 9; cf. aussi Walter Kälin, Das Verfahren der staatsrechtlichen Beschwerde, 2e éd., Berne 1994, p. 164 ss).</w:t>
      </w:r>
    </w:p>
    <w:p>
      <w:r>
        <w:rPr>
          <w:b/>
        </w:rPr>
        <w:t>E. 2.2.2</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129 I 8 consid. 2.1 p. 9, 173 consid. 3.1 p. 178; 120 Ia 369 consid. 3a p. 373).</w:t>
      </w:r>
    </w:p>
    <w:p>
      <w:r>
        <w:rPr>
          <w:b/>
        </w:rPr>
        <w:t>E. 2.3</w:t>
      </w:r>
    </w:p>
    <w:p>
      <w:r>
        <w:t>Il ressort de l'art. 26 LAv que les contestations entre les avocats et leurs clients relatives aux honoraires et débours relèvent de l'autorité judiciaire qui a statué en la cause, de la Cour de modération du Tribunal cantonal fribourgeois si la cause civile ou pénale n'a été portée devant aucune de ces autorités ou du Tribunal administratif s'agissant de causes portées devant une autorité de la juridiction administrative cantonale ou susceptibles de l'être. Dans ce dernier cas, il importe peu que les prétentions pécuniaires de l'avocat envers son client, en particulier ses prétentions d'honoraires et de débours, relèvent du droit privé, comme le rappelle l'art. 25 LAv. Il résulte également du texte de l'art. 26 LAv que seules les contestations portant sur les honoraires et débours des avocats ressortissent aux autorités énumérées dans cette disposition. De plus, on peut déduire de l'art. 27 al. 2 LAv a contrario que ces contestations peuvent porter aussi bien sur le montant des honoraires et des débours que sur le principe même de ceux-ci (cas où le client conteste devoir quelque honoraire ou débours). Par ailleurs, on peut se demander si les autorités saisies en application de l'art. 26 LAv doivent se borner à arrêter le montant - contesté par hypothèse - des honoraires et débours et/ou à en confirmer/infirmer le principe ou si elles se substituent aux autorités ordinaires compétentes en matière d'action en reconnaissance de dette. C'est cette dernière solution qui découle de l'art. 29 al. 1 LAv. Il résulte en outre de l'art. 29 al. 2 LAv que si, devant l'une des autorités saisies en vertu de l'art. 26 LAv, le client prend des conclusions reconventionnelles qui ne portent pas sur le principe ou le montant des honoraires et débours - par exemple, s'il réclame des dommages et intérêts pour inexécution ou exécution défectueuse du mandat -, il sera, conformément à l'art. 135 du CPC/FR, renvoyé à agir devant la juridiction compétente dans le délai qui lui sera imparti, à défaut de quoi le jugement deviendra exécutoire dans son entier. Ainsi, les dispositions précitées de la loi cantonale forment un système parfaitement cohérent qui ne laisse aucune place à l'ambiguïté. En outre, il n'est pas contestable que la démarche entreprise par le recourant auprès du Tribunal administratif tendait, au moins implicitement, à faire reconnaître sa prétention d'honoraires et de débours envers I.________. Dès lors, en invoquant l'art. 25 LAv pour refuser d'entrer en matière sur cette contestation, le Président a non seulement fait une interprétation arbitraire des art. 25 et 26 LAv, mais encore commis un déni de justice.</w:t>
      </w:r>
    </w:p>
    <w:p>
      <w:r>
        <w:rPr>
          <w:b/>
        </w:rPr>
        <w:t>E. 3</w:t>
      </w:r>
    </w:p>
    <w:p>
      <w:r>
        <w:t>Vu ce qui précède, le recours doit être admis. Le canton de Fribourg, dont l'intérêt pécuniaire n'est pas en cause, n'a pas à supporter d'émolument judiciaire ( art. 156 al. 2 OJ ). Il n'y a pas lieu d'allouer des dépens à l'avocat qui agit dans sa propre cause et ne fait pas valoir de frais particuliers.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