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2P.271/2005 vom 14. Juli 2006</w:t>
      </w:r>
    </w:p>
    <w:p>
      <w:r>
        <w:t>Bundesgericht, 2006-07-14, IT</w:t>
      </w:r>
    </w:p>
    <w:p>
      <w:r>
        <w:rPr>
          <w:b/>
        </w:rPr>
        <w:t xml:space="preserve">Quelle: </w:t>
      </w:r>
      <w:r>
        <w:t>https://mcp.opencaselaw.ch/entscheid/bger_2P.271_2005</w:t>
      </w:r>
    </w:p>
    <w:p>
      <w:r>
        <w:t>FR: TF 2P.271/2005 du 14 juillet 2006</w:t>
      </w:r>
    </w:p>
    <w:p>
      <w:r>
        <w:t>IT: TF 2P.271/2005 del 14 luglio 2006</w:t>
      </w:r>
    </w:p>
    <w:p>
      <w:pPr>
        <w:pStyle w:val="Heading2"/>
      </w:pPr>
      <w:r>
        <w:t>Regeste</w:t>
      </w:r>
    </w:p>
    <w:p>
      <w:r>
        <w:t>art. 9 Cost. (revisione stime immobiliari) | Finanze pubbliche &amp; diritto tributario</w:t>
      </w:r>
    </w:p>
    <w:p>
      <w:pPr>
        <w:pStyle w:val="Heading2"/>
      </w:pPr>
      <w:r>
        <w:t>Erwägungen</w:t>
      </w:r>
    </w:p>
    <w:p>
      <w:r>
        <w:rPr>
          <w:b/>
        </w:rPr>
        <w:t>E. 5</w:t>
      </w:r>
    </w:p>
    <w:p>
      <w:r>
        <w:t>Sulla base delle considerazioni che precedono, i gravami, inoltrati quali ricorsi di diritto pubblico, ma ricevibili quali ricorsi di diritto amministrativo, si rilevano infondati e vanno perciò respinti. Secondo soccombenza, le spese processuali vanno di principio poste a carico dei ricorrenti, con vincolo di solidarietà (art. 153 cpv. 1, 153a e 156 cpv. 1 e 7 OG). Considerato tuttavia che, come esposto, le procedure ricorsuali sono riconducibili in una certa misura ad errori di trascrizione commessi dalla Corte cantonale, appare adeguato che la metà di detti oneri siano sopportati dallo Stato del Cantone Ticino, i cui interessi pecuniari sono palesemente in gioco ( art. 156 cpv. 2 e 3 OG ). Non risultano infine adempiute le condizioni che giustifichino l'assegnazione di ripetibili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