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2P.269/2006 vom 17. April 2007</w:t>
      </w:r>
    </w:p>
    <w:p>
      <w:r>
        <w:t>Bundesgericht, 2007-04-17, FR</w:t>
      </w:r>
    </w:p>
    <w:p>
      <w:r>
        <w:rPr>
          <w:b/>
        </w:rPr>
        <w:t xml:space="preserve">Quelle: </w:t>
      </w:r>
      <w:r>
        <w:t>https://mcp.opencaselaw.ch/entscheid/bger_2P.269_2006</w:t>
      </w:r>
    </w:p>
    <w:p>
      <w:r>
        <w:t>FR: TF 2P.269/2006 du 17 avril 2007</w:t>
      </w:r>
    </w:p>
    <w:p>
      <w:r>
        <w:t>IT: TF 2P.269/2006 del 17 aprile 2007</w:t>
      </w:r>
    </w:p>
    <w:p>
      <w:pPr>
        <w:pStyle w:val="Heading2"/>
      </w:pPr>
      <w:r>
        <w:t>Erwägungen</w:t>
      </w:r>
    </w:p>
    <w:p>
      <w:r>
        <w:rPr>
          <w:b/>
        </w:rPr>
        <w:t>E. 1</w:t>
      </w:r>
    </w:p>
    <w:p>
      <w:r>
        <w:t>Les deux recours portent sur le même objet et font valoir des arguments identiques. Il convient donc de joindre les causes 2P.269/2006 et 2P.270/2006 et de statuer sur les deux recours dans un seul arrêt.</w:t>
      </w:r>
    </w:p>
    <w:p>
      <w:r>
        <w:rPr>
          <w:b/>
        </w:rPr>
        <w:t>E. 2</w:t>
      </w:r>
    </w:p>
    <w:p>
      <w:r>
        <w:t>L'acte attaqué ayant été édicté avant le 1er janvier 2007, la procédure est encore régie par la loi fédérale du 16 décembre 1943 d'organisation judiciaire (OJ) (art. 132 al. 1 de la loi du 17 juin 2005 sur le Tribunal fédéral [LTF; RS 173.110]).</w:t>
      </w:r>
    </w:p>
    <w:p>
      <w:r>
        <w:rPr>
          <w:b/>
        </w:rPr>
        <w:t>E. 3</w:t>
      </w:r>
    </w:p>
    <w:p>
      <w:r>
        <w:t>Déposé en temps utile contre un arrêté cantonal qui n'est pas susceptible d'être attaqué par un moyen de droit cantonal, les recours sont en principe recevables (art. 84 al. 1 et 86 al. 1 OJ). Comme propriétaire d'un chien qu'elle peut être amenée à promener dans un parc public, X.________ a qualité pour recourir selon l' art. 88 OJ . Il en va de même sous cet angle pour la SGPA. Il n'est pas nécessaire d'examiner si, au surplus, cette dernière, qui n'a pas dans ses buts statutaires la défense de ses membres, aurait également la qualité pour recourir en raison de son but.</w:t>
      </w:r>
    </w:p>
    <w:p>
      <w:r>
        <w:rPr>
          <w:b/>
        </w:rPr>
        <w:t>E. 4.1</w:t>
      </w:r>
    </w:p>
    <w:p>
      <w:r>
        <w:t>Les recourantes se plaignent de violations des principes de l'interdiction de l'arbitraire et de la proportionnalité.</w:t>
      </w:r>
    </w:p>
    <w:p>
      <w:r>
        <w:t>Un arrêté de portée générale viole le principe de l'interdiction de l'arbitraire s'il ne repose pas sur des motifs objectifs sérieux ou s'il est dépourvu de sens et de but ( ATF 124 I 297 consid. 3b p. 299 et la jurisprudence citée). Par ailleurs, le principe de la proportionnalité, bien qu'étant de rang constitutionnel n'est pas un droit constitutionnel ayant une portée propre ( ATF 126 I 112 consid. 5b p. 120; 125 I 161 consid. 2b p. 163). Ainsi, lorsque ce principe constitutionnel est invoqué dans le cadre d'un recours de droit public pour violation de l' art. 9 Cst. (cf. art. 4 aCst. ), le Tribunal fédéral n'examine ce moyen que sous l'angle restreint de l'arbitraire; autrement dit, ce grief se confond alors avec celui de l'arbitraire ( ATF 117 Ia 27 consid. 7a p. 32).</w:t>
      </w:r>
    </w:p>
    <w:p>
      <w:r>
        <w:rPr>
          <w:b/>
        </w:rPr>
        <w:t>E. 4.2</w:t>
      </w:r>
    </w:p>
    <w:p>
      <w:r>
        <w:t>Comme on le verra encore ci-après (consid. 5), les recourantes contestent uniquement le port de la muselière dans les parcs publics imposé aux chiens "ordinaires", soit aux chiens qui n'entrent ni dans la catégorie des chiens dangereux selon l'art. 13 de la loi genevoise, ni dans celle des chiens faisant l'objet d'une décision individuelle au sens de l'art. 2 lettre c du Règlement. A cet égard, il faut constater que, dans les parcs publics qui ne sont pas interdits aux chiens, ces derniers doivent de toute façon être tenus en laisse. De plus, dans ces parcs, les chiens se voient interdire l'accès notamment aux places de jeux pour enfants ainsi qu'aux pelouses, massifs de fleurs et plantations (art. 11 al. 1 lettres h et i du règlement d'application). S'agissant de chiens non définis comme dangereux et ne faisant pas l'objet d'une décision individuelle au sens de l'art. 2 lettre c du Règlement, ces mesures, qu'il incombe à l'autorité compétente de faire respecter, suffisent à assurer la sécurité du public. Dans ces conditions, imposer en plus le port de la muselière, avec tous les inconvénients en résultant pour les chiens, est une obligation manifestement disproportionnée, soit arbitraire et donc contraire à l' art. 9 Cst. , indépendamment des difficultés pratiques pour appliquer pareille contrainte à tous les chiens quels qu'ils soient. Le Conseil d'Etat fait valoir que les parcs publics ne représentent que 1,192% du territoire genevois. Il n'en reste pas moins que ces parcs constituent une surface importante pour promener les chiens dans les communes urbaines et suburbaines notamment, de sorte qu'il n'y a pas là de raison suffisante pour justifier la mesure attaquée. Du reste, dans sa dernière écriture, le Conseil d'Etat lui-même envisage l'abandon du port de la muselière généralisé dans les parcs publics accessibles aux chiens. L'art. 2 lettre b du Règlement se révèle donc inconstitutionnel et doit être annulé. Dès lors, il n'est pas nécessaire d'examiner les autres arguments soulevés par les recourantes.</w:t>
      </w:r>
    </w:p>
    <w:p>
      <w:r>
        <w:rPr>
          <w:b/>
        </w:rPr>
        <w:t>E. 5</w:t>
      </w:r>
    </w:p>
    <w:p>
      <w:r>
        <w:t>En revanche, les recourantes n'attaquent pas le port de la muselière obligatoire pour les chiens définis comme dangereux ainsi que pour les chiens faisant l'objet d'une décision individuelle au sens de l'art. 2 lettre c du Règlement. Elles en font même en quelque sorte un argument pour libérer les autres chiens de l'obligation de porter la muselière dans les parcs publics. L'art. 2 lettre a du Règlement impose le port de la muselière sur la voie publique en général à tous les chiens dangereux. Par ailleurs, comme on l'a vu, l'art. 2 lettre b du Règlement impose la muselière à tous les chiens dans les parcs publics. On peut se demander si la voie publique au sens du Règlement comprend les parcs publics. Si tel est bien le cas, l'annulation de l'art. 2 lettre b du Règlement n'exempte pas du port de la muselière dans les parcs publics les chiens dangereux ni d'ailleurs ceux qui font l'objet d'une décision individuelle au sens de l'art. 2 lettre c du Règlement. Il serait du reste difficilement compréhensible, pour ne pas dire absurde, que les chiens dangereux doivent porter la muselière sur les routes et trottoirs, mais pas dans les allées des parcs publics. Cependant, pour qu'il n'y ait pas le moindre doute, on précisera, à toutes fins utiles, que l'annulation de l'art. 2 lettre b du Règlement ne concerne ni les chiens définis comme dangereux ni ceux qui font l'objet d'une décision individuelle au sens de l'art. 2 lettre c du Règlement, ces deux catégories restant soumises à l'obligation du port de la muselière dans les parcs publics. Les recourantes n'ayant de toute façon pas critiqué cette mesure de manière conforme aux exigences de l' art. 90 al. 1 lettre b OJ pour les deux catégories de chiens précitées, il n'y a pas lieu d'examiner plus avant le bien-fondé de ladite mesure en ce qui les concerne.</w:t>
      </w:r>
    </w:p>
    <w:p>
      <w:r>
        <w:rPr>
          <w:b/>
        </w:rPr>
        <w:t>E. 6</w:t>
      </w:r>
    </w:p>
    <w:p>
      <w:r>
        <w:t>En conséquence, les recours doivent être admis et l'art. 2 lettre b du Règlement annulé dans le sens des considérants.</w:t>
      </w:r>
    </w:p>
    <w:p>
      <w:r>
        <w:t>Bien qu'il succombe, le canton de Genève, dont l'intérêt pécuniaire n'est pas en cause, n'a pas à supporter de frais judiciaires ( art. 156 al. 2 OJ ).</w:t>
      </w:r>
    </w:p>
    <w:p>
      <w:r>
        <w:t>Les recourantes, qui n'ont pas procédé avec l'assistance d'un avocat,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