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2P.268/2005 vom 8. Mai 2006</w:t>
      </w:r>
    </w:p>
    <w:p>
      <w:r>
        <w:t>Bundesgericht, 2006-05-08, IT</w:t>
      </w:r>
    </w:p>
    <w:p>
      <w:r>
        <w:rPr>
          <w:b/>
        </w:rPr>
        <w:t xml:space="preserve">Quelle: </w:t>
      </w:r>
      <w:r>
        <w:t>https://mcp.opencaselaw.ch/entscheid/bger_2P.268_2005</w:t>
      </w:r>
    </w:p>
    <w:p>
      <w:r>
        <w:t>FR: TF 2P.268/2005 du 8 mai 2006</w:t>
      </w:r>
    </w:p>
    <w:p>
      <w:r>
        <w:t>IT: TF 2P.268/2005 del 8 maggio 2006</w:t>
      </w:r>
    </w:p>
    <w:p>
      <w:pPr>
        <w:pStyle w:val="Heading2"/>
      </w:pPr>
      <w:r>
        <w:t>Erwägungen</w:t>
      </w:r>
    </w:p>
    <w:p>
      <w:r>
        <w:rPr>
          <w:b/>
        </w:rPr>
        <w:t>E. 4.1</w:t>
      </w:r>
    </w:p>
    <w:p>
      <w:r>
        <w:t>In virtù di quanto precede, la decisione impugnata, in quanto pronuncia di ultima istanza cantonale, risulta arbitraria e deve perciò essere annullata. Non occorre quindi, né è peraltro ammissibile (cfr. consid. 3.2.4), esaminare in questa sede gli aspetti di merito della vertenza. Al riguardo va comunque rilevato che, oltre ad esporre i motivi per cui il privilegio accordatogli sarebbe ancora giustificato, il ricorrente contesta, a ragione, anche l'assenza di qualsiasi motivazione in merito al tasso d'interesse dell'8% preteso sulle fatture fino al mese di dicembre del 1998.</w:t>
      </w:r>
    </w:p>
    <w:p>
      <w:r>
        <w:t>Compete alle autorità cantonali, che in ambito di organizzazione giudiziaria dispongono di un'ampia libertà decisionale, adeguare il sistema dei mezzi d'impugnazione ed operare le scelte che si impongono dal profilo costituzionale, per mezzo di una diversa interpretazione delle norme esistenti o mediante opportune modifiche legislative ( DTF 125 I 406 consid. 3a; sentenza 1P.109/2002 del 12 aprile 2002, in: RDAT II-2002 n. 70, consid. 2.2). Gli atti vanno perciò trasmessi al Consiglio di Stato, a cui incombe la vigilanza sull'attività dell'Ente (art. 15 lett. a LESR), affinché si adoperi e provveda in tal senso (cfr. Grisel, op. cit., pag. 455 seg.).</w:t>
      </w:r>
    </w:p>
    <w:p>
      <w:r>
        <w:rPr>
          <w:b/>
        </w:rPr>
        <w:t>E. 4.2</w:t>
      </w:r>
    </w:p>
    <w:p>
      <w:r>
        <w:t>Le spese processuali vanno poste a carico dell'Ente per lo smaltimento dei rifiuti del Sottoceneri, secondo soccombenza e ritenuto che la vertenza concerne direttamente i suoi interessi pecuniari ( art. 156 cpv. 1 e 2 OG ). Al Comune di Bioggio, che, vista la sua entità, è privo di un servizio giuridico proprio e si è fatto assistere da un avvocato, va riconosciuta un'indennità per ripetibili ( art. 159 cpv. 1 e 2 OG ; DTF 125 I 182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