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2P.267/2001 vom 27. Februar 2002</w:t>
      </w:r>
    </w:p>
    <w:p>
      <w:r>
        <w:t>Bundesgericht, 2002-02-27, DE</w:t>
      </w:r>
    </w:p>
    <w:p>
      <w:r>
        <w:rPr>
          <w:b/>
        </w:rPr>
        <w:t xml:space="preserve">Quelle: </w:t>
      </w:r>
      <w:r>
        <w:t>https://mcp.opencaselaw.ch/entscheid/bger_2P.267_2001</w:t>
      </w:r>
    </w:p>
    <w:p>
      <w:r>
        <w:t>FR: TF 2P.267/2001 du 27 février 2002</w:t>
      </w:r>
    </w:p>
    <w:p>
      <w:r>
        <w:t>IT: TF 2P.267/2001 del 27 febbraio 2002</w:t>
      </w:r>
    </w:p>
    <w:p>
      <w:pPr>
        <w:pStyle w:val="Heading2"/>
      </w:pPr>
      <w:r>
        <w:t>Regeste</w:t>
      </w:r>
    </w:p>
    <w:p>
      <w:r>
        <w:t>Öffentliches Dienstverhältnis</w:t>
      </w:r>
    </w:p>
    <w:p>
      <w:pPr>
        <w:pStyle w:val="Heading2"/>
      </w:pPr>
      <w:r>
        <w:t>Erwägungen</w:t>
      </w:r>
    </w:p>
    <w:p>
      <w:r>
        <w:rPr>
          <w:b/>
        </w:rPr>
        <w:t>E. 1</w:t>
      </w:r>
    </w:p>
    <w:p>
      <w:r>
        <w:t>a) Die staatsrechtliche Beschwerde ist nur gegen letztinstanzliche kantonale Entscheide zulässig ( Art. 86 Abs. 1 OG ). Gemäss Art. 55a Abs. 3 des bernischen Gesetzes über das öffentliche Dienstrecht vom 5. November 1992 (Personalgesetz, PG, BSG 153. 01) kann die Verfügung, mit welcher die kantonalen Bediensteten in das neue Gehaltssystem überführt werden, mit Verwaltungsbeschwerde beim Regierungsrat angefochten werden; dieser entscheidet als einzige und letzte kantonale Instanz. Indessen bejaht das bernische Verwaltungsgericht seine Zuständigkeit zur Beurteilung von Streitsachen, die nach Massgabe von Art. 6 Ziff. 1 EMRK zivilrechtlichen Charakter haben (vgl. dazu BGE 125 I 313 E. 3b S. 318). Nach der bisherigen Rechtsprechung des Bundesgerichts und der Praxis des Europäischen Gerichtshofes für Menschenrechte waren Streitigkeiten aus dem öffentlichen Dienstverhältnis (namentlich betreffend dessen Begründung und Beendigung sowie betreffend die Lohneinstufung und die Beförderung) dem Anwendungsbereich von Art. 6 Ziff. 1 EMRK grundsätzlich entzogen.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bisherigen Rechtsprechung in BGE 125 I 313 E. 4 S. 319 f., mit zahlreichen Hinweisen). Die heutige Rechtsprechung des Europäischen Gerichtshofes für Menschenrechte stellt für die Frage der Anwendbarkeit von Art. 6 Ziff. 1 EMRK nunmehr auf die Natur der vom Bediensteten ausgeübten Funktion ab. Demnach unterstehen Streitigkeiten von öffentlichen Bediensteten, die unmittelbar oder mittelbar - insbesondere in der Armee und bei der Polizei - an der öffentlichen Gewalt teilhaben, ausser mit Bezug auf die pensionsrechtlichen Ansprüche nicht den Garantien von Art. 6 Ziff. 1 EMRK , während öffentliche Angestellte, die andere Funktionen wahrnehmen, sich auf diese Bestimmung berufen können ( BGE 126 I 33 E. 2b S. 35; Urteil vom 7. Februar 2000 i.S. Polizei-Beamten-Verband der Stadt Zürich, E. 2b, in: Pra 2000 Nr. 80 S. 485, je mit Hinweisen auf das Urteil des EGMR vom 8. Dezember 1999 i.S. Pellegrin c. France). Angesichts dieser Entwicklung der Rechtsprechung des Europäischen Gerichtshofes kann man sich fragen, ob die Verfügungen, mit denen die bernischen Beamten in das neue Gehaltssystem überführt wurden, nicht in den Anwendungsbereich von Art. 6 Ziff. 1 EMRK fallen. Wie es sich damit generell verhält, kann jedoch im vorliegenden Fall dahingestellt bleiben, da der Beschwerdeführer als Gerichtsschreiber unmittelbar an der öffentlichen Gewalt teilhat und sich daher nicht auf die neue Praxis berufen kann. Zumindest bestehen unter den gegebenen Umständen bezüglich der Zulässigkeit der Beschwerde an das bernische Verwaltungsgericht ernsthafte Zweifel, weshalb der kantonale Instanzenzug vorliegend als erschöpft betrachtet werden kann (vgl. BGE 125 I 394 E. 3 S. 396; Urteil des Bundesgerichts vom 14. November 2001 [2P. 95/2001], E. 1a). b) Der Beschwerdeführer ist im Sinne von Art. 88 OG befugt, mit staatsrechtlicher Beschwerde zu rügen, seine Besoldung sei willkürlich, rechtsungleich oder in einer gegen Treu und Glauben verstossenden Weise festgesetzt worden ( BGE 123 I 1 , nicht publizierte E. 1b). c) Auf die staatsrechtliche Beschwerde ist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Der Beschwerdeführer hat sich mit der Begründung im angefochtenen Entscheid auseinander zu setzen und zu erklären, welches geschriebene oder ungeschriebene verfassungsmässige Individualrecht verletzt worden sein soll. Auf bloss allgemein gehaltene, rein appellatorische Kritik tritt das Bundesgericht nicht ein ( BGE 107 Ia 186 E. b ; 125 I 492 E. 1b S. 495).</w:t>
      </w:r>
    </w:p>
    <w:p>
      <w:r>
        <w:rPr>
          <w:b/>
        </w:rPr>
        <w:t>E. 2</w:t>
      </w:r>
    </w:p>
    <w:p>
      <w:r>
        <w:t>Der Beschwerdeführer macht unter anderem geltend, seine Einreihung in die Gehaltsklasse 22 stelle gegenüber den in die Gehaltsklasse 23 eingereihten Gerichtsschreibern eine Ungleichbehandlung dar, die sich nicht rechtfertige; der Losentscheid sei zudem willkürlich. a) 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oder Ungleiches nicht nach Massgabe seiner Ungleichheit ungleich behandelt wird. Vorausgesetzt wird, dass sich der unbegründete Unterschied oder die unbegründete Gleichstellung auf eine wesentliche Tatsache bezieht (vgl. BGE 123 I 1 E. 6a S. 7 f.). Art. 8 Abs. 1 BV ist verletzt, wenn im öffentlichen Dienstverhältnis gleichwertige Arbeit ungleich entlöhnt wird.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(vgl. BGE 123 I 1 E. 6c S. 8, mit Hinweisen). b) Die durch die Justiz-, Gemeinde- und Kirchendirektion vorgenommene Einstufung des Beschwerdeführers beruht auf ihrem "Entschluss", die in den bernischen Gerichtskreisen tätigen Gerichtsschreiber erster Instanz ungefähr zur Hälfte in die Gehaltsklasse 22 und zur Hälfte in die Gehaltsklasse 23 einzustufen. Wie dieser "Entschluss", der aus dem Schreiben des Justiz-, Gemeinde- und Kirchendirektors vom 1. Dezember 1999 hervorgeht, zustande gekommen und wie er rechtlich zu qualifizieren ist, ist fraglich; die Frage kann aber hier offen bleiben. Jedenfalls ist die konkrete Einstufung des Beschwerdeführers eine Folge des Vorschlags des geschäftsleitenden Gerichtspräsidenten, der die in seinem Gerichtskreis tätigen Gerichtsschreiber aufgrund eines Losentscheides entweder für die Gehaltsklasse 22 - darunter auch den Beschwerdeführer - oder aber für die Gehaltsklasse 23 vorgeschlagen hat. Indem die Justiz-, Gemeinde- und Kirchendirektion in ihren Einreihungsverfügungen diesem Vorschlag gefolgt ist, hat sie den Losentscheid des geschäftsleitenden Gerichtspräsidenten im Resultat akzeptiert. Damit ist die unterschiedliche Einreihung der verschiedenen, im Gerichtskreis VIII Bern-Laupen tätigen Gerichtsschreiber bzw. deren Stellen aufgrund eines Kriteriums zustande gekommen, das - wie ins Auge springt - nicht sachgerecht ist; die Einreihungsverfügung vom 10. Dezember 1999 und der diese bestätigende Entscheid des Regierungsrats verletzen klarerweise das Rechtsgleichheitsgebot und das Willkürverbot. c) Der Regierungsrat hat im angefochtenen Entscheid eingeräumt, dass eine unterschiedliche Einreihung der Gerichtsschreiber erster Instanz sachlich nicht gerechtfertigt sei, da sich Aufgaben, Anforderungen und Belastungen der erstinstanzlichen Gerichtsschreiber im Grundsatz nicht unterschieden. Da er aber zur Überzeugung gelangt war, dass eigentlich alle Gerichtsschreiber erster Instanz richtigerweise in die Gehaltsklasse 22 einzureihen wären und dass es im Übrigen nicht angehe, die schon rechtskräftig in die Klasse 23 eingereihten Gerichtsschreiber wieder herunterzustufen, hat er davon abgesehen, die rechtsungleiche Situation für den Beschwerdeführer zu korrigieren. Damit bleibt aber die Verletzung des Rechtsgleichheitsgebots und des Willkürverbots bestehen.</w:t>
      </w:r>
    </w:p>
    <w:p>
      <w:r>
        <w:rPr>
          <w:b/>
        </w:rPr>
        <w:t>E. 3</w:t>
      </w:r>
    </w:p>
    <w:p>
      <w:r>
        <w:t>a) Die staatsrechtliche Beschwerde ist daher gutzuheissen, soweit darauf einzutreten ist, und der angefochtene Entscheid ist aufzuheben. b) Es erübrigt sich damit, zu den weiteren Rügen des Beschwerdeführers - soweit sie den Anforderungen von Art. 90 OG überhaupt genügen - Stellung zu nehmen. Insbesondere kann offen bleiben, ob die Funktion eines erstinstanzlichen bernischen Gerichtsschreibers in die Gehaltsklasse 22 oder 23 einzureihen ist; ebenso erübrigt es sich, Ausführungen zur Frage zu machen, ob allenfalls sachgerechte Kriterien denkbar sind, die innerhalb eines Gerichtskreises eine Einreihung der erstinstanzlichen Gerichtsschreiberfunktion in zwei verschiedene Gehaltsklassen (hier 22 oder 23) rechtfertigen könnten. c) Bei diesem Verfahrensausgang sind die Gerichtskosten dem Kanton Bern, um dessen vermögensrechtliche Interessen es sich handelt, aufzuerlegen ( Art. 156 Abs. 1 OG sowie Art. 156 Abs. 2 OG e contrario). Der Kanton Bern hat zudem dem Beschwerdeführer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