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2P.256/2006 vom 4. Mai 2007</w:t>
      </w:r>
    </w:p>
    <w:p>
      <w:r>
        <w:t>Bundesgericht, 2007-05-04, IT</w:t>
      </w:r>
    </w:p>
    <w:p>
      <w:r>
        <w:rPr>
          <w:b/>
        </w:rPr>
        <w:t xml:space="preserve">Quelle: </w:t>
      </w:r>
      <w:r>
        <w:t>https://mcp.opencaselaw.ch/entscheid/bger_2P.256_2006</w:t>
      </w:r>
    </w:p>
    <w:p>
      <w:r>
        <w:t>FR: TF 2P.256/2006 du 4 mai 2007</w:t>
      </w:r>
    </w:p>
    <w:p>
      <w:r>
        <w:t>IT: TF 2P.256/2006 del 4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 tassa di giustizia.</w:t>
      </w:r>
    </w:p>
    <w:p>
      <w:r>
        <w:rPr>
          <w:b/>
        </w:rPr>
        <w:t>E. 3</w:t>
      </w:r>
    </w:p>
    <w:p>
      <w:r>
        <w:t>Il ricorrente rifonderà al Comune di Cresciano fr. 1'500.-- a titolo di ripetibili della sede federale.</w:t>
      </w:r>
    </w:p>
    <w:p>
      <w:r>
        <w:rPr>
          <w:b/>
        </w:rPr>
        <w:t>E. 4</w:t>
      </w:r>
    </w:p>
    <w:p>
      <w:r>
        <w:t>Comunicazione ai patrocinatori delle parti e al Tribunale amministrativo del Cantone Ticino.</w:t>
      </w:r>
    </w:p>
    <w:p>
      <w:r>
        <w:t>Losanna, 4 maggio 2007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