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2P.24/2001 vom 29. Juni 2001</w:t>
      </w:r>
    </w:p>
    <w:p>
      <w:r>
        <w:t>Bundesgericht, 2001-06-29, FR</w:t>
      </w:r>
    </w:p>
    <w:p>
      <w:r>
        <w:rPr>
          <w:b/>
        </w:rPr>
        <w:t xml:space="preserve">Quelle: </w:t>
      </w:r>
      <w:r>
        <w:t>https://mcp.opencaselaw.ch/entscheid/bger_2P.24_2001</w:t>
      </w:r>
    </w:p>
    <w:p>
      <w:r>
        <w:t>FR: TF 2P.24/2001 du 29 juin 2001</w:t>
      </w:r>
    </w:p>
    <w:p>
      <w:r>
        <w:t>IT: TF 2P.24/2001 del 29 giugno 2001</w:t>
      </w:r>
    </w:p>
    <w:p>
      <w:pPr>
        <w:pStyle w:val="Heading2"/>
      </w:pPr>
      <w:r>
        <w:t>Regeste</w:t>
      </w:r>
    </w:p>
    <w:p>
      <w:r>
        <w:t>Fonction publique</w:t>
      </w:r>
    </w:p>
    <w:p>
      <w:pPr>
        <w:pStyle w:val="Heading2"/>
      </w:pPr>
      <w:r>
        <w:t>Erwägungen</w:t>
      </w:r>
    </w:p>
    <w:p>
      <w:r>
        <w:rPr>
          <w:b/>
        </w:rPr>
        <w:t>E. 1</w:t>
      </w:r>
    </w:p>
    <w:p>
      <w:r>
        <w:t>a) Selon l' art. 88 OJ , le recours de droit public est ouvert uniquement à celui qui est atteint par l'acte attaqué dans ses intérêts personnels et juridiquement protégés. Selon la jurisprudence du Tribunal fédéral, un employé de la fonction publique a un droit juridiquement protégé a être traité de manière égale, sans arbitraire et conformément au principe de la bonne foi en matière de rémunération ( ATF 123 I 1 consid. 1b non publié; 121 I 102 consid. 1b non publié). Le Département est toutefois d'avis que le recours est irrecevable, puisque le droit genevois ne prévoit aucun droit au remboursement des heures de réserve de carrière. Cette question peut rester ouverte dès lors que le recours doit de toute façon être rejeté au fond. b) Sous réserve d'exceptions non réalisées en l'espèce, le recours de droit public est de nature purement cassatoire ( ATF 127 II 1 consid. 2c p. 5; 126 II 377 consid. 8c p. 395; 125 II 86 consid. 5a p. 96 et la jurisprudence citée). Dans la mesure où l'intéressé demande autre chose que l'annulation de l'arrêt attaqué, soit le renvoi de la cause à l'autorité cantonale pour nouvelle décision, ses conclusions sont irrecevables. c) 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n'examine que les griefs d'ordre constitutionnel invoqués et suffisamment motivés dans l'acte de recours. Le recourant ne saurait se contenter de soulever de vagues griefs ou de renvoyer aux actes cantonaux ( ATF 125 I 71 consid. 1c p. 76; 115 Ia 27 consid. 4a p. 30; 114 Ia 317 consid. 2b p. 318). C'est à la lumière de ces principes que doivent être appréciés les moyens soulevés par l'intéressé.</w:t>
      </w:r>
    </w:p>
    <w:p>
      <w:r>
        <w:rPr>
          <w:b/>
        </w:rPr>
        <w:t>E. 2</w:t>
      </w:r>
    </w:p>
    <w:p>
      <w:r>
        <w:t>a) Ce dernier reproche essentiellement au Tribunal administratif de ne pas avoir tenu compte de son invalidité. Sa mise à la retraite anticipée pour invalidité l'aurait privé des droits que le règlement et la pratique accordent aux autres enseignants valides, à savoir de pouvoir compenser la réserve de carrière accumulée par une diminution ultérieure du nombre de périodes d'enseignement. Sa situation serait différente de celle d'un enseignant quittant son poste de plein gré. L'autorité intimée aurait adopté un comportement discriminatoire en refusant de compenser en argent l'absence de temps libre auquel il aurait pu prétendre en cas de déroulement normal de sa carrière. Il subirait ainsi une discrimination prohibée par l' art. 8 al. 2 Cst. du fait d'une déficience corporelle. Le mandat contenu à l' art. 8 al. 4 Cst. aurait également été violé. b)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125 I 1 consid. 2b/aa p. 4 et la jurisprudence citée). c) Aux termes de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A la différence de l' art. 8 al. 3 Cst. , le principe général de non-discrimination de l' art. 8 al. 2 Cst. ne contient pas à lui seul l'obligation de réaliser l'égalité; le législateur a uniquement reçu le mandat d'adopter des mesures en vue d'éliminer les inégalités qui frappent les personnes handicapées ( art. 8 al. 4 Cst. ). Un projet de loi sur l'élimination des inégalités frappant les personnes handicapées a été mis en consultation (FF 2000 3123; ATF 126 II 377 consid. 6a p. 392 et les références citées). On est en présence d'une discrimination selon l' art. 8 al. 2 Cst. lorsqu'une personne est traitée différemment en raison de son appartenance à un groupe particulier qui, historiquement ou dans la réalité sociale actuelle, souffre d'exclusion ou de dépréciation (Jörg Paul Müller, Die Diskriminierungsverbote nach Art. 8 Abs. 2 der neuen Bundesverfassung, in: Ulrich Zimmerli [éd. ], Die neue Bundesverfassung, Konsequenzen für Praxis und Wissenschaft, Berner Tage für die juristische Praxis 1999, Berne 2000, p. 103 ss, p. 110). Il y a discrimination lorsqu'une personne se trouvant dans une situation similaire à une autre fait l'objet d'un traitement inégal qualifié ayant pour but ou pour effet de la défavoriser, sur la base d'un critère de distinction qui porte sur un élément essentiel de son identité ne pouvant pas ou que difficilement être modifié (Walter Kälin/Martina Caroni, Das verfassungsrechtliche Verbot der Diskriminierung wegen der ethnisch-kulturellen Herkunft, in: Walter Kälin [éd. ], Das Verbot ethnisch-kultureller Diskriminierung, Bâle, Genève, Munich 1999, p. 67 ss, p. 76 s.). Sont dès lors interdites les différences de traitement ayant pour base ou pour motif une caractéristique personnelle par laquelle des personnes ou groupes de personnes se distinguent des autres (Andreas Auer/Giorgio Malinverni/Michel Hottelier, Droit constitutionnel suisse, Volume II, Berne 2000, n. 1036 p. 507). Le principe de non-discrimination n'interdit toutefois pas toute distinction basée sur l'un des critères énumérés à l' art. 8 al. 2 Cst. , mais fonde plutôt le soupçon d'une différenciation inadmissible. Les inégalités qui résultent d'une telle distinction doivent dès lors faire l'objet d'une justification particulière (BO CE 1998 p. 35, intervention Rhinow, rapporteur; ATF 126 II 377 consid. 6a p. 392/393 et les références citées). c) En l'espèce, le remboursement de la réserve de carrière a été refusé au recourant parce qu'une compensation financière en cas de réserve positive ou négative de carrière en cours d'activité ou lors de la cessation de celle-ci avant la retraite n'est pas prévue par le droit genevois. Dès lors que la décision attaquée n'a pas été prise sur la base d'un critère de l' art. 8 al. 2 Cst. - en l'occurrence l'appartenance au "groupe" des personnes handicapées ou invalides -, l'intéressé n'a pas été directement discriminé (cf. ATF 126 II 377 consid. 6b p. 393). d) Reste à examiner si celui-ci a été victime d'une discrimination indirecte. Une telle discrimination existe lorsqu'une réglementation, qui ne désavantage pas directement un groupe particulier protégé par le principe de non-discrimination, défavorise tout particulièrement, par ses effets et sans justification objective, les personnes appartenant à ce groupe (Jörg Paul Müller, Die Grundrechte in der Schweiz, Berne 1999, p. 441 ss; ATF 126 II 377 consid. 6c p. 393/394 et les références citées). En l'occurrence, le recourant ne fait pas non plus l'objet d'une discrimination indirecte, dans la mesure où le refus de compenser financièrement la réserve de carrière ne touche pas les personnes invalides ou handicapées plus sévèrement ou plus fréquemment que d'autres quittant de plein gré ou sous la contrainte de circonstances personnelles (par exemple le fonctionnaire suivant son conjoint à l'étranger qui y continue sa carrière) le service public genevois. Il ne prétend au demeurant pas le contraire. Par ailleurs, le système mis en place par le canton de Genève se justifie par la solidarité entre les générations qu'il vise à créer et le souci de décharger les enseignants plus âgés par rapport aux plus jeunes. L'autorité intimée a en outre estimé qu'il permettait de répondre aux besoins de l'enseignement tout en préservant les intérêts de l'enseignant, ce que l'intéressé ne conteste pas. Son grief doit dès lors être écarté. e) Pour le surplus, le recourant ne démontre pas en quoi la situation d'un enseignant quittant son poste avant l'âge de la retraite ou choisissant une mise à la retraite anticipée serait différente de celui qui est contraint d'abandonner son poste pour cause de maladie (cf. art. 90 al. 1 lettre b OJ ). La cause du départ - volontaire dans le premier, forcée dans le second cas - ne saurait à elle seule justifier un traitement différent. Le fait que l'intéressé ne puisse pas bénéficier en temps libre de la compensation de la réserve de carrière accumulée ne le désavantage pas non plus par rapport à ses anciens collègues dès lors qu'il n'est de toute façon plus au service de son employeur. Au demeurant, il n'est ni allégué ni établi qu'un horaire de travail imposé (et non choisi, comme le prévoit le système genevois) plus chargé pour les enseignants plus jeunes que pour les plus âgés serait discriminatoire. En revanche, au chapitre des mesures favorables au recourant, il convient de remarquer que le droit cantonal prévoit des mécanismes spécifiques, en particulier celui de l'indemnité remplaçant le traitement plein en cas d'absence pour maladie ou accident de l'art. 45 du règlement fixant le statut des membres du corps enseignant du 25 juillet 1979 et que le recourant en a effectivement bénéficié dès l'année scolaire 1994/1995. Le moyen soulevé doit dès lors être rejeté dans la mesure où il est recevable.</w:t>
      </w:r>
    </w:p>
    <w:p>
      <w:r>
        <w:rPr>
          <w:b/>
        </w:rPr>
        <w:t>E. 3</w:t>
      </w:r>
    </w:p>
    <w:p>
      <w:r>
        <w:t>Le recourant invoque encore l' art. 35 Cst. à l'appui de ses conclusions. A la lecture du mémoire de recours, il semble toutefois ne pas accorder à ce moyen une portée indépendante de celle tirée de la violation de l' art. 8 Cst. Quoi qu'il en soit l'absence de précision quant au contenu de la violation de l' art. 35 Cst. conduit à déclarer ce moyen irrecevable conformément à l' art. 90 al. 1 lettre b OJ . 4.-Le présent recours doit ainsi être rejeté dans la mesure où il est recevable.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