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2P.246/2006 vom 16. Februar 2007</w:t>
      </w:r>
    </w:p>
    <w:p>
      <w:r>
        <w:t>Bundesgericht, 2007-02-16, FR</w:t>
      </w:r>
    </w:p>
    <w:p>
      <w:r>
        <w:rPr>
          <w:b/>
        </w:rPr>
        <w:t xml:space="preserve">Quelle: </w:t>
      </w:r>
      <w:r>
        <w:t>https://mcp.opencaselaw.ch/entscheid/bger_2P.246_2006</w:t>
      </w:r>
    </w:p>
    <w:p>
      <w:r>
        <w:t>FR: TF 2P.246/2006 du 16 février 2007</w:t>
      </w:r>
    </w:p>
    <w:p>
      <w:r>
        <w:t>IT: TF 2P.246/2006 del 16 febbraio 2007</w:t>
      </w:r>
    </w:p>
    <w:p>
      <w:pPr>
        <w:pStyle w:val="Heading2"/>
      </w:pPr>
      <w:r>
        <w:t>Erwägungen</w:t>
      </w:r>
    </w:p>
    <w:p>
      <w:r>
        <w:rPr>
          <w:b/>
        </w:rPr>
        <w:t>E. 1.1</w:t>
      </w:r>
    </w:p>
    <w:p>
      <w:r>
        <w:t>La loi du 17 juin 2005 sur le Tribunal fédéral (LTF; RS 173.110) est entrée en vigueur le 1er janvier 2007. L'acte attaqué ayant été rendu avant cette date, la procédure reste régie par la loi fédérale d'organisation judiciaire du 16 décembre 1943 (ci-après: OJ; art. 132 al. 1 LTF ).</w:t>
      </w:r>
    </w:p>
    <w:p>
      <w:r>
        <w:rPr>
          <w:b/>
        </w:rPr>
        <w:t>E. 1.2</w:t>
      </w:r>
    </w:p>
    <w:p>
      <w:r>
        <w:t>La recourante a déposé simultanément deux recours, l'un de droit administratif, l'autre de droit public, contre le même arrêt. Par économie de procédure, il convient dès lors de prononcer la jonction des causes et de statuer sur les mérites des deux recours dans un seul et même arrêt ( art. 24 PCF par renvoi de l' art. 40 OJ ; ATF 127 V 29 consid. 1 p. 33, 156 consid. 1 p. 157).</w:t>
      </w:r>
    </w:p>
    <w:p>
      <w:r>
        <w:rPr>
          <w:b/>
        </w:rPr>
        <w:t>E. 2</w:t>
      </w:r>
    </w:p>
    <w:p>
      <w:r>
        <w:t>En vertu de l'art. 100 al. 1 lettre b ch. 3 OJ, le recours de droit administratif est irrecevable contre l'octroi ou le refus d'autorisations auxquelles le droit fédéral ne confère pas un droit. Les autorités compétentes statuent librement, dans le cadre des prescriptions légales et des traités avec l'étranger, sur l'octroi ou le refus de l'autorisation de séjour ou d'établissement (art. 4 de la loi fédérale du 26 mars 1931 sur le séjour et l'établissement des étrangers [LSEE; RS 142.20]). En principe, l'étranger n'a pas de droit à l'octroi ou à la prolongation d'une autorisation de séjour. Le recours de droit administratif n'est donc pas recevable, à moins que ne puisse être invoquée une disposition particulière du droit fédéral ou d'un traité accordant le droit à la délivrance d'une telle autorisation ( ATF 131 II 339 consid. 1 p. 342/343).</w:t>
      </w:r>
    </w:p>
    <w:p>
      <w:r>
        <w:rPr>
          <w:b/>
        </w:rPr>
        <w:t>E. 2.1</w:t>
      </w:r>
    </w:p>
    <w:p>
      <w:r>
        <w:t>L' art. 17 al. 2 1 ère phrase LSEE dispose que si l'étranger possède l'autorisation d'établissement, son conjoint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 ATF 130 II 113 consid. 4.1 p. 116 confirmé récemment dans l'arrêt 2P.51/2006 du 20 mars 2006 consid. 3.1). Il est également sans importance qu'aucune procédure de divorce n'ait été introduite ou qu'elle ne soit pas terminée (arrêt 2A.171/1998 du 1er avril 1998 consid. 2b et les références).</w:t>
      </w:r>
    </w:p>
    <w:p>
      <w:r>
        <w:t>Dans le cas particulier, il n'est pas contesté que la recourante est mariée avec un étranger titulaire d'une autorisation d'établissement, de vingt-sept ans son aîné, et qu'elle vit séparée de son époux depuis le 1er janvier 2005, soit depuis deux ans. Elle a par ailleurs déposé une requête de mesures protectrices de l'union conjugale (le 24 décembre 2004), après que son époux, sous l'emprise de l'alcool, l'ait chassée de la maison et menacée avec un couteau. La recourante se dit toutefois prête à reprendre la vie commune avec son époux; elle aurait eu quelques contacts avec lui et ils auraient discuté de leur avenir proche. Or, malgré ces affirmations, aucun élément concret n'indique qu'une telle reprise serait envisageable de part et d'autre à brève échéance. Dans son mémoire de recours, l'intéressée fait au contraire remarquer qu'"elle a tout fait pour sauver son union sans que ses efforts ne trouvent d'écho auprès de son mari. Il la laisse dans une situation d'incertitude sur une éventuelle reprise de la vie commune".</w:t>
      </w:r>
    </w:p>
    <w:p>
      <w:r>
        <w:t>Dans ces conditions, vu que la séparation des époux X.Y.________ ne peut être qualifiée de temporaire et en l'absence d'indices d'une réelle possibilité de reprise de la vie commune, le recours de droit administratif est irrecevable sous l'angle de l' art. 17 al. 2 LSEE .</w:t>
      </w:r>
    </w:p>
    <w:p>
      <w:r>
        <w:rPr>
          <w:b/>
        </w:rPr>
        <w:t>E. 2.2</w:t>
      </w:r>
    </w:p>
    <w:p>
      <w:r>
        <w:t>La recourante se réclame aussi de l' art. 8 CEDH qui garantit le droit au respect de la vie privée et familiale. Encore faut-il, pour pouvoir invoquer cette disposition, que la relation entre l'étranger et un membre de sa famille ayant le droit de présence en Suisse soit étroite et effective ( ATF 131 II 265 consid. 5 p. 269; 129 II 193 consid. 5.3.1 p. 211). L'existence de tels liens ne pouvant pas être admise au vu des circonstances (cf. consid. 2.1 ci-dessus), le recours de droit administratif n'est pas non plus recevable sous l'angle de cette disposition.</w:t>
      </w:r>
    </w:p>
    <w:p>
      <w:r>
        <w:rPr>
          <w:b/>
        </w:rPr>
        <w:t>E. 3.1</w:t>
      </w:r>
    </w:p>
    <w:p>
      <w:r>
        <w:t>Faute de droit à l'autorisation de séjour, soit d'intérêt juridiquement protégé au sens de l' art. 88 OJ , le recours de droit public est irrecevable ( ATF 122 I 267 consid. 1a p. 269/270 et la jurisprudence citée). La recourante peut toutefois se plaindre de la violation de ses droits de partie équivalant à un déni de justice formel. Il ne lui est cependant pas permis de mettre en cause, même de façon indirecte, la décision sur le fond; le recours ne peut donc pas porter sur des points indissociables de cette dernière ( ATF 129 I 217 consid. 1.4 p. 222; 122 I 267 consid. 1b p. 270; 120 Ia 227 consid. 1 p. 229/230 et les arrêts cités).</w:t>
      </w:r>
    </w:p>
    <w:p>
      <w:r>
        <w:rPr>
          <w:b/>
        </w:rPr>
        <w:t>E. 3.2</w:t>
      </w:r>
    </w:p>
    <w:p>
      <w:r>
        <w:t>Dans la mesure où la recourante dénonce une appréciation prétendument arbitraire des preuves, son recours de droit public est néanmoins irrecevable, étant donné que l'examen de telles questions ne peut pas être séparé de l'examen du fond lui-même ( ATF 126 I 81 consid. 7b p. 94). En outre, elle ne fait valoir que des griefs de fond à l'encontre de la décision attaquée, même si ces moyens sont énoncés inexactement comme violation du droit d'être entendue.</w:t>
      </w:r>
    </w:p>
    <w:p>
      <w:r>
        <w:rPr>
          <w:b/>
        </w:rPr>
        <w:t>E. 4</w:t>
      </w:r>
    </w:p>
    <w:p>
      <w:r>
        <w:t>Partant, les deux recours sont irrecevables.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