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2P.238/2006 vom 11. Januar 2007</w:t>
      </w:r>
    </w:p>
    <w:p>
      <w:r>
        <w:t>Bundesgericht, 2007-01-11, FR</w:t>
      </w:r>
    </w:p>
    <w:p>
      <w:r>
        <w:rPr>
          <w:b/>
        </w:rPr>
        <w:t xml:space="preserve">Quelle: </w:t>
      </w:r>
      <w:r>
        <w:t>https://mcp.opencaselaw.ch/entscheid/bger_2P.238_2006</w:t>
      </w:r>
    </w:p>
    <w:p>
      <w:r>
        <w:t>FR: TF 2P.238/2006 du 11 janvier 2007</w:t>
      </w:r>
    </w:p>
    <w:p>
      <w:r>
        <w:t>IT: TF 2P.238/2006 del 11 gennaio 2007</w:t>
      </w:r>
    </w:p>
    <w:p>
      <w:pPr>
        <w:pStyle w:val="Heading2"/>
      </w:pPr>
      <w:r>
        <w:t>Erwägungen</w:t>
      </w:r>
    </w:p>
    <w:p>
      <w:r>
        <w:rPr>
          <w:b/>
        </w:rPr>
        <w:t>E. 1</w:t>
      </w:r>
    </w:p>
    <w:p>
      <w:r>
        <w:t>Le Tribunal fédéral examine d'office et librement la recevabilité des recours qui lui sont soumis ( ATF 132 I 140 consid. 1.1 p. 142).</w:t>
      </w:r>
    </w:p>
    <w:p>
      <w:r>
        <w:t>La loi d'organisation judiciaire (OJ) demeure applicable en l'espèce ( art. 132 al. 1 LTF ).</w:t>
      </w:r>
    </w:p>
    <w:p>
      <w:r>
        <w:rPr>
          <w:b/>
        </w:rPr>
        <w:t>E. 1.1</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2.1</w:t>
      </w:r>
    </w:p>
    <w:p>
      <w:r>
        <w:t>Invoquant les art. 27 et 36 Cst. , le recourant fait valoir que le retrait de son autorisation de pratiquer pour une durée de trois mois viole le principe de la proportionnalité. Pareille durée de suspension mettrait en péril la pérennité de son entreprise et le conduirait à la faillite.</w:t>
      </w:r>
    </w:p>
    <w:p>
      <w:r>
        <w:rPr>
          <w:b/>
        </w:rPr>
        <w:t>E. 2.2</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telle celle de médecin ou de pysiothérapeute (arrêt 2P.169/2004 du 7 février 2005, consid. 2.2; ATF 118 Ia 175 consid. 1).</w:t>
      </w:r>
    </w:p>
    <w:p>
      <w:r>
        <w:t>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t>L'interdiction faite au recourant d'exercer l'activité de physiothérapeute pendant trois mois constitue une restriction grave à sa liberté économique et doit reposer sur une loi au sens formel (cf. art. 36 al. 1 Cst. ). En outre, le Tribunal fédéral examine librement et avec plein pouvoir d'examen si l'exigence de l'intérêt public ( art. 36 al. 2 Cst. ) et de la proportionnalité (cf. art. 36 al. 3 Cst. ) sont respectés (cf. ATF 123 I 212 consid. 3a p. 217; 122 I 236 consid. 4a p. 244 et les références citées).</w:t>
      </w:r>
    </w:p>
    <w:p>
      <w:r>
        <w:rPr>
          <w:b/>
        </w:rPr>
        <w:t>E. 2.3</w:t>
      </w:r>
    </w:p>
    <w:p>
      <w:r>
        <w:t>La mesure litigieuse se fonde sur les art. 6 al. 2 et 108 ss de la loi genevoise du 11 mai 2001 sur les professions de la santé (LPS/GE; K 3 05), en vertu desquels, dans les cas graves, dûment constatés et qualifiés comme tels par la commission de surveillance des professions de la santé, le Conseil d'Etat peut ordonner la radiation temporaire ou définitive pour les physiothérapeutes inscrits dans le registre cantonal, ayant commis, de façon répétée, des infractions aux lois et règlement en vigueur.</w:t>
      </w:r>
    </w:p>
    <w:p>
      <w:r>
        <w:t>Il n'est pas contesté que la sanction prononcée repose sur une base légale suffisante et qu'elle répond à un intérêt public. Reste à examiner si elle respecte le principe de proportionnalité.</w:t>
      </w:r>
    </w:p>
    <w:p>
      <w:r>
        <w:rPr>
          <w:b/>
        </w:rPr>
        <w:t>E. 3.1</w:t>
      </w:r>
    </w:p>
    <w:p>
      <w:r>
        <w:t>Le principe de la proportionnalité (cf. art. 5 al. 2 Cst. )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130 II 425 consid. 5.2 p. 438, 128 II 292 consid. 5.1 p. 297; 125 I 474 consid. 3 p. 482 et la jurisprudence citée).</w:t>
      </w:r>
    </w:p>
    <w:p>
      <w:r>
        <w:rPr>
          <w:b/>
        </w:rPr>
        <w:t>E. 3.2</w:t>
      </w:r>
    </w:p>
    <w:p>
      <w:r>
        <w:t>Dans son examen de la proportionnalité, le Tribunal administratif a considéré à juste titre, eu égard non seulement à la situation du recourant mais aussi à celle des patients de celui-ci, que l'interdiction de pratiquer était une mesure adéquate pour assurer qu'à l'avenir, le recourant exerce son métier conformément aux obligations légales qui résultent de son statut de professionnel de la santé. Il a toutefois réduit la radiation provisoire de 6 mois à 3 mois pour tenir compte de la situation financière du recourant, qui travaille seul dans son cabinet, déclare un bénéfice net d'activité indépendante de 70'000 fr. par année ainsi qu'un loyer mensuel de 650 fr. et dont la fortune mobilière s'élève à 50'000 fr. et la fortune commerciale à 55'000 fr.</w:t>
      </w:r>
    </w:p>
    <w:p>
      <w:r>
        <w:t>Contrairement à ce que lui reproche le recourant sur un mode appellatoire, le Tribunal administratif a dûment procédé à la pesée des intérêts publics et privés en présence, se fondant à cet effet sur les procès-verbaux d'audition relatant la situation personnelle et familiale de ce dernier ainsi que sur les déclarations fiscales des années 2003 à 2005. Sur ce point, le recourant, qui se plaint d'arbitraire dans l'établissement de sa fortune ( art. 9 Cst. ), ne démontre pas d'une manière conforme aux exigences de l' art. 90 OJ en quoi les montants que le Tribunal administratif a tiré des décisions de taxation établies par les autorités fiscales cantonales seraient erronées. Au demeurant, même si la fortune commerciale a été surestimée, une modification de la mesure litigieuse ne se justifie pas pour ce seul motif. Pour le surplus, une radiation temporaire d'un mois, comme le demande le recourant, serait insuffisante, puisqu'elle correspondrait à la durée de vacances annuelles ordinaires et, dénuée du caractère de sanction, ne permettrait pas de préserver l'intérêt public tendant à éviter que ne se reproduisent des actes contraires à la loi. Une radiation de trois mois est en revanche adaptée à la situation personnelle du recourant et à la gravité de son comportement. S'il est vrai que les conséquences d'un tel retrait d'autorisation sont importantes, elles ne sont toutefois pas insurmontables. Il appartiendra au recourant de prendre les mesures transitoires qui s'imposent. La mesure adoptée par le Tribunal administratif est ainsi proportionnée et même mesurée.</w:t>
      </w:r>
    </w:p>
    <w:p>
      <w:r>
        <w:t>Par conséquent, en prononçant une radiation provisoire de trois mois de l'inscription du recourant du tableau des physiothérapeutes, le Tribunal administratif n'a pas violé les art. 9, 27 et 36 al. 3 Cst.</w:t>
      </w:r>
    </w:p>
    <w:p>
      <w:r>
        <w:rPr>
          <w:b/>
        </w:rPr>
        <w:t>E. 4</w:t>
      </w:r>
    </w:p>
    <w:p>
      <w:r>
        <w:t>Les considérants qui précèdent conduisent au rejet du recours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