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2P.227/1999 vom 22. Mai 2000</w:t>
      </w:r>
    </w:p>
    <w:p>
      <w:r>
        <w:t>Bundesgericht, 2000-05-22, DE</w:t>
      </w:r>
    </w:p>
    <w:p>
      <w:r>
        <w:rPr>
          <w:b/>
        </w:rPr>
        <w:t xml:space="preserve">Quelle: </w:t>
      </w:r>
      <w:r>
        <w:t>https://mcp.opencaselaw.ch/entscheid/bger_2P.227_1999</w:t>
      </w:r>
    </w:p>
    <w:p>
      <w:r>
        <w:t>FR: TF 2P.227/1999 du 22 mai 2000</w:t>
      </w:r>
    </w:p>
    <w:p>
      <w:r>
        <w:t>IT: TF 2P.227/1999 del 22 maggio 2000</w:t>
      </w:r>
    </w:p>
    <w:p>
      <w:pPr>
        <w:pStyle w:val="Heading2"/>
      </w:pPr>
      <w:r>
        <w:t>Regeste</w:t>
      </w:r>
    </w:p>
    <w:p>
      <w:r>
        <w:t>Grundrecht</w:t>
      </w:r>
    </w:p>
    <w:p>
      <w:pPr>
        <w:pStyle w:val="Heading2"/>
      </w:pPr>
      <w:r>
        <w:t>Erwägungen</w:t>
      </w:r>
    </w:p>
    <w:p>
      <w:r>
        <w:rPr>
          <w:b/>
        </w:rPr>
        <w:t>E. 1</w:t>
      </w:r>
    </w:p>
    <w:p>
      <w:r>
        <w:t>Gegenstand des vorliegenden Verfahrens bildet ein kantonal letztinstanzlicher Endentscheid (vgl. Art. 19 Abs. 1 FPV ), gegen den im Bund nur die staatsrechtliche Beschwerde offen steht (Art. 86 Abs. 1 und Art. 87 in Verbindung mit Art. 84 Abs. 2 OG ). Der Beschwerdeführer wird durch den negativen Prüfungsentscheid in rechtlich geschützten Interessen betroffen (vgl. Art. 88 OG ). Auf seine fristgerechte Eingabe ist - vorbehältlich der nachfolgenden Einschränkungen - einzutreten: a) Nach Art. 86 OG ist die staatsrechtliche Beschwerde in der Regel nur gegen letztinstanzliche Entscheide zulässig. Der Entscheid einer unteren Instanz kann mitangefochten werden, wenn der letzten kantonalen Instanz nicht sämtliche vor Bundesgericht erhobenen Rügen unterbreitet werden konnten oder wenn sie solche Rügen mit einer engeren Prüfungsbefugnis beurteilt hat, als sie dem Bundesgericht zusteht ( BGE 118 Ia 165 E. 2b S. 169). Vorliegend stand dem Obergericht eine uneingeschränkte Rechtskontrolle (vgl. Art. 19 Abs. 2 FPV ) und damit eine mindestens so weite Prüfungsbefugnis zu wie dem Bundesgericht im Verfahren der staatsrechtlichen Beschwerde. Soweit auch die Aufhebung des vorangegangenen Entscheids der Prüfungskommission für Fürsprecher des Kantons Bern beantragt wird, ist daher auf die Beschwerde nicht einzutreten. b) Die staatsrechtliche Beschwerde muss gemäss Art. 90 Abs. 1 lit. b OG die wesentlichen Tatsachen und eine kurz gefasste Darlegung darüber enthalten, welche verfassungsmässigen Rechte bzw. welche Rechtssätze inwiefern durch den angefochtenen Entscheid verletzt worden sind.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4 aBV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4 BV verstossenden Weise verletzt haben sollen ( BGE 117 Ia 10 E. 4b S. 12, mit Hinweis). Auf die vorliegende Beschwerde ist nicht weiter einzugehen, soweit sie den dargestellten Begründungsanforderungen nicht genügt. c) Weiter ist die staatsrechtliche Beschwerde grundsätzlich rein kassatorischer Natur ( BGE 122 I 351 E. 1f S. 355, mit Hinweisen); positive Anordnungen erlässt das Bundesgericht ausnahmsweise dann, wenn der verfassungsmässige Zustand mit der blossen Aufhebung des kantonalen Entscheids nicht wiederhergestellt werden kann. Entgegen der Auffassung des Beschwerdeführers ist dies vorliegend nicht der Fall: Sollte sich erweisen, dass im Rahmen der beanstandeten Fürsprecherprüfung verfassungsmässige Rechte des Beschwerdeführers verletzt worden sind, muss das Obergericht über die bei ihm erhobene Beschwerde neu entscheiden und selber die erforderlichen Anordnungen treffen. Auf die Eingabe des Beschwerdeführers ist nicht einzutreten, soweit er mehr verlangt als die Aufhebung des obergerichtlichen Entscheids.</w:t>
      </w:r>
    </w:p>
    <w:p>
      <w:r>
        <w:rPr>
          <w:b/>
        </w:rPr>
        <w:t>E. 2</w:t>
      </w:r>
    </w:p>
    <w:p>
      <w:r>
        <w:t>Der Beschwerdeführer macht insbesondere geltend, sein Anspruch auf rechtliches Gehör sei verletzt worden. Er rügt, das Obergericht habe entschieden, ohne auf seine Beweisanträge einzugehen und ohne ihm Gelegenheit zu geben, sich (vorgängig) zu den Stellungnahmen der Prüfungsexperten zu äussern. a) Der Anspruch auf rechtliches Gehör ( Art. 4 aBV ) ist formeller Natur und seine Verletzung führt grundsätzlich - ungeachtet der Erfolgsaussichten der Beschwerde in der Sache selbst - zur Aufhebung des angefochtenen Entscheids. Das rechtliche Gehör dient einerseits der Sachaufklärung, andererseits stellt es ein persönlichkeitsbezogenes Mitwirkungsrecht beim Erlass eines Entscheids dar. Es umfasst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120 Ib 379 E. 3b S. 383, mit Hinweisen; 122 II 464 E. 4a S. 469). Umschrieben wird das rechtliche Gehör in erster Linie durch die kantonalen Verfahrensvorschriften. Deren Anwendung prüft das Bundesgericht auf staatsrechtliche Beschwerde hin nur unter dem Gesichtswinkel der Willkür. Die verfahrensrechtlichen Mindestgarantien, wie sie unmittelbar aus Art. 4 aBV abgeleitet werden, prüft es demgegenüber mit freier Kognition ( BGE 122 I 153 E. 3 S. 158, mit Hinweisen). b) Gemäss Art. 19 Abs. 1 FPV können Verfügungen der Prüfungskommission beim bernischen Obergericht angefochten werden; für die Regelung des Rechtsmittelverfahrens wird im Wesentlichen auf das Gesetz vom 23. Mai 1989 über die Verwaltungsrechtspflege (VRPG) verwiesen ( Art. 19 Abs. 3 FPV ). Gemäss diesem hat die zuständige Behörde grundsätzlich die Parteien anzuhören, bevor sie eine Verfügung erlässt oder einen Entscheid trifft (Art. 21 VRPG). Die Parteien sind weiter berechtigt, zum Ergebnis des Beweisverfahrens Stellung zu nehmen (Art. 24 VRPG). Sie müssen ihre abschliessenden Äusserungen nicht von sich aus einreichen; die instruierende Behörde ist verpflichtet, ihnen förmlich Gelegenheit zur Stellungnahme einzuräumen (Thomas Merkli/Arthur Aeschlimann/Ruth Herzog, Kommentar zum Gesetz über die Verwaltungsrechtspflege im Kanton Bern, Bern 1997, N 4 zu Art. 24). In seiner Vernehmlassung argumentiert das Obergericht, es habe kein Beweisverfahren durchgeführt, sondern lediglich "verwaltungsinterne Stellungnahmen" eingeholt; diese hätten einzig auf die erhobenen Rügen Bezug genommen. Deshalb sei eine weitere Anhörung des Beschwerdeführers nicht erforderlich gewesen. Eine solche habe zudem bereits darum unterbleiben können, weil keine neuen Erkenntnisse zu erwarten gewesen seien. c) Dem Obergericht kann nicht zugestimmt werden, soweit es die Stellungnahmen der Prüfer als rein interne Dokumente (vgl. BGE 122 I 153 E. 6a S. 161 f.) betrachtet. Die betreffenden Schriftstücke dienten offensichtlich nicht (nur) der behördlichen Meinungsbildung. Zwar mögen sie die Haltung mitbestimmt haben, welche die Prüfungskommission zu den Vorwürfen einnimmt, die der Beschwerdeführer äussert. Primär gaben die betroffenen Examinatoren darin jedoch eine detaillierte Schilderung der Vorfälle ab, wie sie sich aus ihrer Sicht ereignet haben. Zumindest den Ausführungen der Experten P.________ und M.________ kommt deshalb, was den Ablauf und die äusseren Bedingungen der mündlichen Handelsrechtsprüfung betrifft, die Funktion eines Beweismittels zu (vgl. Merkli/Aeschlimann/Herzog, a.a.O., N 8 zu Art. 23). Im angefochtenen Urteil hat das Obergericht denn auch schwergewichtig auf die Sachdarstellung der beiden Examinatoren abgestellt. Unter diesen Umständen durfte es dem Beschwerdeführer die Kenntnis vom Inhalt dieser Dokumente nicht vorenthalten: Bereits aus dem kantonalen Recht ergibt sich klar, dass der Beschwerdeführer einen Anspruch darauf hatte, die betreffenden schriftlichen Äusserungen der befragten Prüfer einzusehen (Art. 23 VRPG) und - da es sich um eigentliche Beweismittel handelt - dazu seinerseits Stellung zu nehmen (Art. 24 VRPG; vgl. Merkli/Aeschlimann/Herzog, a.a.O., N 1 ff. zu Art. 24). Indem es das Obergericht unterlassen hat, dem Beschwerdeführer die Stellungnahmen der Examinatoren bekannt zu machen und ihm Gelegenheit zu geben, sich aus seiner Sicht noch einmal zu äussern, verstiess es klarerweise gegen den in Art. 21 ff. VRPG verankerten Gehörsanspruch und zugleich gegen die unmittelbar aus Art. 4 aBV folgenden Verfassungsgarantien. d) Eine weitere Verletzung des rechtlichen Gehörs erblickt der Beschwerdeführer darin, dass auf die beantragte Anhörung des Zeugen F.________, welcher den mündlichen Prüfungen des Beschwerdeführers jeweilen beiwohnte, verzichtet worden ist. Es erscheint in der Tat zweifelhaft, ob das Obergericht den beantragten Beweis bei der vorliegenden Sachlage als unerheblich betrachten und in antizipierter Beweiswürdigung auf dessen Abnahme verzichten durfte: Der Zeuge hätte sich über die bei der Handelsrechtsprüfung bestehende Atmosphäre (einschliesslich des angeblich untragbaren Lärmpegels) aussprechen können. Darüber hinaus hätte er zumindest zu einem streitigen Punkt - der Behauptung, die Expertin habe das Prüfungslokal mit der Bemerkung betreten: "hier stinkt's" - eine konkrete Aussage machen können. Zwar darf für die Beurteilung von Vorwürfen, welche gegen einen Examinator erhoben werden, grundsätzlich auf die Sachdarstellung des allenfalls anwesenden Zweitexperten abgestellt werden; der vorliegende Fall weist jedoch besondere Umstände auf, welche die Unabhängigkeit des Zweitexperten in Frage stellen könnten (vgl. E. 3). Letztlich kann jedoch dahingestellt bleiben, ob auch insofern eine Verletzung von Art. 4 aBV vorliegt; nach dem oben Gesagten ist die staatsrechtliche Beschwerde ohnehin gutzuheissen, soweit darauf einzutreten ist. Offen bleiben kann dabei auch, wieweit die übrigen Rügen, welche der Beschwerdeführer erhoben hat, begründet sind.</w:t>
      </w:r>
    </w:p>
    <w:p>
      <w:r>
        <w:rPr>
          <w:b/>
        </w:rPr>
        <w:t>E. 3</w:t>
      </w:r>
    </w:p>
    <w:p>
      <w:r>
        <w:t>Im Sinne der Prozessökonomie mag immerhin beigefügt werden, dass das angefochtene Urteil mit seiner jetzigen Begründung auch materiell zu verfassungsrechtlichen Bedenken Anlass gibt. Dies betrifft vorab die Praxis, nach welcher die Prüfungskommission den zweiten Experten bestimmt, dessen Beizug Kandidaten "beantragen" können, welche zum dritten Mal zur Fürsprecherprüfung antreten (Art. 5 Abs. 3 aFPV). Es fragt sich, ob mit Sinn und Zweck der Prüfungsverordnung vereinbar ist, dass der "Hauptexperte" den zweiten Prüfer selber bestimmt; ein solches Vorgehen bietet keine Gewähr für die erforderliche Unabhängigkeit des zweiten Prüfers. Im vorliegenden Fall lassen die konkreten Umstände die Wahl gewisser Zweitexperten überhaupt unglücklich erscheinen: So ist einmal fraglich, ob sich Staatsanwalt M.________, welcher für die Handelsrechtsprüfung beigezogen wurde, noch als unbefangener Zweitexperte eignete, nachdem er dem Beschwerdeführer bereits im schriftlichen Straffall und - als "Hauptexperte" - in der mündlichen Strafrechtsprüfung ungenügende Noten erteilt hatte. Des Weiteren konnte auch der Zweitexperte in der Steuerrechtsprüfung nicht ohne weiteres als völlig unabhängig gelten, handelte es sich bei diesem doch um den Assistenten und Doktoranden des als "Hauptexperten" amtenden Ordinarius für Steuerrecht. Wenig überzeugend ist ferner die Auffassung des Obergerichts und der Prüfungskommission, wonach der Protokollführer in der Prüfung gleichzeitig als zweiter Experte fungieren kann. Gemäss Art. 5 Abs. 2 aFPV ist der Beizug eines "Beisitzers" obligatorisch, wenn der Prüfling das Examen wiederholt. Es darf also bereits bei Kandidaten, welche zum zweiten Mal zur Prüfung antreten, kein Experte mehr alleine prüfen. Soll nun die Vorschrift von Art. 5 Abs. 3 aFPV Sinn machen, so kann sie wohl nur so verstanden werden, dass - sofern dies verlangt wird - für den dritten und letzten Versuch zusätzlich zum Protokollführer ein zweiter Experte beizuziehen ist. Offenbar besteht denn auch eine entsprechende Weisung der Präsidenten der Prüfungskommission. Die geschilderten Umstände begründen zumindest in ihrer Kumulation ernsthafte Zweifel daran, ob die Einrichtung des Zweitexperten vorliegend in einer willkürfreien, mit dem Sinn der Institution (noch) vereinbaren Weise gehandhabt worden ist. Das Obergericht wird - anlässlich seines neuen Entscheids in der Sache - zu erörtern haben, ob nicht eine Wiederholung (zumindest des zweiten Teils) der Prüfung geboten wäre. Im Übrigen bringt der Beschwerdeführer nichts vor, was den Vorwurf der Willkür bezüglich der Bewertung seiner Prüfungsleistung zu belegen vermöchte (vgl. BGE 121 I 225 E. 4b S. 230, mit Hinweis). Auch die Einwendungen, welche er gegen die Fachkompetenz eines der Zweitexperten erhebt, sind nicht stichhaltig.</w:t>
      </w:r>
    </w:p>
    <w:p>
      <w:r>
        <w:rPr>
          <w:b/>
        </w:rPr>
        <w:t>E. 4</w:t>
      </w:r>
    </w:p>
    <w:p>
      <w:r>
        <w:t>Es sind keine Gerichtskosten zu erheben ( Art. 156 Abs. 1 und Abs. 2 OG ) und, da der Beschwerdeführer nicht anwaltlich vertreten ist, keine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