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2P.214/2004 vom 27. Januar 2005</w:t>
      </w:r>
    </w:p>
    <w:p>
      <w:r>
        <w:t>Bundesgericht, 2005-01-27, DE</w:t>
      </w:r>
    </w:p>
    <w:p>
      <w:r>
        <w:rPr>
          <w:b/>
        </w:rPr>
        <w:t xml:space="preserve">Quelle: </w:t>
      </w:r>
      <w:r>
        <w:t>https://mcp.opencaselaw.ch/entscheid/bger_2P.214_2004</w:t>
      </w:r>
    </w:p>
    <w:p>
      <w:r>
        <w:t>FR: TF 2P.214/2004 du 27 janvier 2005</w:t>
      </w:r>
    </w:p>
    <w:p>
      <w:r>
        <w:t>IT: TF 2P.214/2004 del 27 gennaio 2005</w:t>
      </w:r>
    </w:p>
    <w:p>
      <w:pPr>
        <w:pStyle w:val="Heading2"/>
      </w:pPr>
      <w:r>
        <w:t>Regeste</w:t>
      </w:r>
    </w:p>
    <w:p>
      <w:r>
        <w:t>art. 127 BV (double imposition) | Öffentliche Finanzen &amp; Abgaberecht</w:t>
      </w:r>
    </w:p>
    <w:p>
      <w:pPr>
        <w:pStyle w:val="Heading2"/>
      </w:pPr>
      <w:r>
        <w:t>Erwägungen</w:t>
      </w:r>
    </w:p>
    <w:p>
      <w:r>
        <w:rPr>
          <w:b/>
        </w:rPr>
        <w:t>E. 1</w:t>
      </w:r>
    </w:p>
    <w:p>
      <w:r>
        <w:t>Bestreitet eine zur Veranlagung herangezogene Person die Steuerhoheit des Kantons, muss grundsätzlich in einem Vorentscheid rechtskräftig über deren Steuerpflicht entschieden werden, bevor das Veranlagungsverfahren fortgesetzt werden darf. Ein solcher Entscheid kann - wegen Verletzung von Art. 127 Abs. 3 BV - ohne Erschöpfung des kantonalen Instanzenzugs direkt mit staatsrechtlicher Beschwerde beim Bundesgericht angefochten werden ( Art. 86 Abs. 2 OG ; BGE 125 I 54 E. 1a). Der Steuerdomizilentscheid des Steueramtes Weinfelden vom 9. Dezember 2002 ist in Rechtskraft erwachsen, nachdem der Beschwerdeführer ihn nicht angefochten hat. Er brauchte dies auch nicht zu tun, wenn er sich ihm unter der Bedingung fügen wollte, dass kein anderer Kanton für denselben Zeitraum die unbeschränkte Steuerpflicht in Anspruch nehme; er durfte daher zuwarten, bis ein zweiter Kanton denselben Anspruch erhebt. Die staatsrechtliche Beschwerde steht ihm in diesem Fall nicht nur zur Anfechtung des Steuerentscheids des Kantons Waadt offen, sondern auch zur Bestreitung des (an sich rechtskräftig festgelegten) Steuerdomizils im Kanton Thurgau zu (Urteil 2P.26/2000 vom 5. Juni 2002 E. 1c). Der Beschwerde ist denn auch mit hinreichender Deutlichkeit ( Art. 90 Abs. 1 OG ) das Begehren zu entnehmen, die Doppelbesteuerung für das Jahr 2002 zu beseitigen.</w:t>
      </w:r>
    </w:p>
    <w:p>
      <w:r>
        <w:rPr>
          <w:b/>
        </w:rPr>
        <w:t>E. 2.1</w:t>
      </w:r>
    </w:p>
    <w:p>
      <w:r>
        <w:t>Eine gegen Art. 127 Abs. 3 BV verstossende Doppelbesteuerung liegt u.a. vor, wenn eine steuerpflichtige Person von zwei oder mehreren Kantonen für das gleiche Steuerobjekt und für die gleiche Zeit zu Steuern herangezogen wird (aktuelle Doppelbesteuerung; BGE 130 I 205 E. 4.1 mit Hinweisen). Im vorliegenden Fall ist das Hauptsteuerdomizil des Beschwerdeführers für das Jahr 2002 bereits vom Kanton Thurgau rechtskräftig in Weinfelden festgesetzt, und er soll nun aufgrund des angefochtenen Einspracheentscheids ebenfalls im Kanton Waadt für denselben Zeitraum der unbeschränkten Steuerpflicht unterstellt werden. Damit ist eine aktuelle Doppelbesteuerung offensichtlich gegeben.</w:t>
      </w:r>
    </w:p>
    <w:p>
      <w:r>
        <w:rPr>
          <w:b/>
        </w:rPr>
        <w:t>E. 2.2</w:t>
      </w:r>
    </w:p>
    <w:p>
      <w:r>
        <w:t>Nach der Rechtsprechung des Bundesgerichts zu Art. 127 Abs. 3 BV (bzw. Art. 46 Abs. 2 aBV ) ist der steuerrechtliche Wohnsitz (Hauptsteuerdomizil) einer unselbständig erwerbenden Person derjenige Ort, wo sie sich mit der Absicht dauernden Verbleibens aufhält (vgl. auch Art. 3 Abs. 2 StHG , Art. 3 Abs. 2 des Bundesgesetzes vom 14. Dezember 1990 über die direkte Bundessteuer [DBG; SR 642.11] und Art. 23 Abs. 1 ZGB ) bzw. wo sich der Mittelpunkt ihrer Lebensinteressen befindet. Dem polizeilichen Domizil, wo die Schriften hinterlegt sind oder wo die politischen Rechte ausgeübt werden, kommt dagegen keine entscheidende Bedeutung zu; es kann bloss Indiz für den steuerrechtlichen Wohnsitz sein, wenn auch das übrige Verhalten der Person für diesen spricht ( BGE 123 I 289 E. 2a S. 293 f. mit Hinweisen). Wenn sich eine Person abwechslungsweise an zwei Orten aufhält, namentlich wenn ihr Arbeitsort und ihr sonstiger Aufenthaltsort auseinanderfallen, ist für die Bestimmung des steuerrechtlichen Wohnsitzes darauf abzustellen, zu welchem Ort sie die stärkeren Beziehungen unterhält ( BGE 125 I 54 E. 2a S. 56). Bei unselbständig erwerbenden Steuerpflichtigen ist das gewöhnlich der Ort, wo sie für längere oder unbestimmte Zeit Aufenthalt nehmen, um von dort aus der täglichen Arbeit nachzugehen ( BGE 125 I 54 E. 2b S. 56 ff. mit Hinweisen).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Die Frage, zu welchem der Aufenthaltsorte die steuerpflichtige Person die stärkeren Beziehungen unterhält, ist jeweils auf Grund der Gesamtheit der Umstände des Einzelfalles zu beurteilen ( BGE 123 I 189 E. 2b S. 294 mit Hinweis).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anders verhält es sich nur, wenn sie in leitender Stellung tätig sind ( BGE 125 I 54 E. 2b/aa S. 56 f. mit Hinweisen).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 BGE 125 I 54 E. 2b/bb S. 57 mit Hinweisen). Jedenfalls bei jüngeren Steuerpflichtigen, die sich während der Woche an ihrem Arbeitsort aufhalten, spricht der Umstand, dass sie regelmässig an den Ort zurückkehren, wo ihre Familie lebt, wo sie aufgewachsen sind, die Schulen besucht oder gearbeitet haben und ihre persönlichen und familiären Beziehungen pflegen, in besonderem Masse zur Annahme, dass sie am Ort ihrer Familienniederlassung noch den Mittelpunkt ihrer Lebensbeziehungen haben (Urteil 2P.25/1993 vom 20. Januar 1994, insb. E. 3c). Namentlich wenn solche Steuerpflichtige das elterliche Heim zum ersten Mal verlassen, können sie dort ihr Hauptsteuerdomizil beibehalten, wenn sie in ihrer Freizeit überwiegend und regelmässig heimkehren (Urteil 2P.179/2003 vom 17. Juni 2004 E. 2.3; BGE 111 la 41 E. 3 S. 43).</w:t>
      </w:r>
    </w:p>
    <w:p>
      <w:r>
        <w:rPr>
          <w:b/>
        </w:rPr>
        <w:t>E. 3.1</w:t>
      </w:r>
    </w:p>
    <w:p>
      <w:r>
        <w:t>Der Beschwerdeführer war beim Antritt seiner "Stage" in der Thurgauer Niederlassung seines Lehrbetriebes noch nicht ganz zwanzigjährig. Der von Anfang an befristete Aufenthalt von rund anderthalb Jahren diente anerkanntermassen dem Vertiefen seiner Deutschkenntnisse; er wurde zudem unterbrochen von der Rekrutenschule im Raum Bern von rund dreieinhalb Monaten Dauer. Pro Monat verbrachte der Beschwerdeführer nach eigenen Angaben zwei bis drei Wochenenden bei seinen Eltern im Kanton Waadt, wo er zudem seine Ferien verbrachte und in der Freizeit mit seinen Freunden musizierte. Die persönlichen Kontakte im Kanton Thurgau beschränkten sich offenbar auf seine Arbeitskollegen. Damit liegt es auf der Hand, dass der Beschwerdeführer sein Hauptsteuerdomizil nie in den Kanton Thurgau verlegt hat. Dass er nicht jedes Wochenende im Waadtland verbrachte, steht dem nicht entgegen, sind doch auch der Zeitaufwand und die Kosten zu berücksichtigen (vgl. BGE 111 la 41 E. 3 S. 43 für die Fahrt von Genf nach Brig; für die Strecke Lausanne-Weinfelden dürften diese Gesichtspunkte umso stärker ins Gewicht fallen).</w:t>
      </w:r>
    </w:p>
    <w:p>
      <w:r>
        <w:rPr>
          <w:b/>
        </w:rPr>
        <w:t>E. 3.2</w:t>
      </w:r>
    </w:p>
    <w:p>
      <w:r>
        <w:t>Das Hauptsteuerdomizil des Beschwerdeführers befand sich somit auch nach dem 1. Januar 2002 im Kanton Waadt, weshalb die staatsrechtliche Beschwerde gegenüber dem Kanton Thurgau gutzuheissen ist, und sowohl der Entscheid des Steueramtes Weinfelden vom 9. Dezember 2002 als auch dessen Ermessensveranlagung vom 19. September 2003 aufzuheben sind.</w:t>
      </w:r>
    </w:p>
    <w:p>
      <w:r>
        <w:rPr>
          <w:b/>
        </w:rPr>
        <w:t>E. 4</w:t>
      </w:r>
    </w:p>
    <w:p>
      <w:r>
        <w:t>Nachdem der Steuerdomizilentscheid vom 9. Dezember 2002 in Rechtskraft erwachsen war und die subjektive Steuerpflicht (gemäss § 7 des thurgauischen Gesetzes über die Staats- und Gemeindesteuern [Steuergesetz; StG/TG]) des Beschwerdeführers - wenn auch zu Unrecht - feststand, war er zur Mitwirkung und Auskunftserteilung hinsichtlich der Festsetzung der Steuer verpflichtet (vgl. Peter Locher, Kommentar DBG, I. Teil, Basel/Therwil 2001, RZ 60 zu Art. 3 DBG mit Hinweisen auf Judikatur und Literatur). Da er trotz Aufforderung und zweimaliger Mahnung dennoch keine Steuererklärung einreichte, wurde er nach Ermessen veranlagt ( § 162 StG /TG bzw. Art. 130 Abs. 2 DBG ) und in Anwendung von § 207 StG /TG bzw. Art. 174 DBG mit einer Busse belegt. Diese selbständige Bussenverfügung vom 19. September 2003 hat der Beschwerdeführer nicht angefochten. Es liegt deshalb insoweit kein letztinstanzlicher kantonaler Entscheid vor, der mit Verwaltungsgerichtsbeschwerde gemäss Art. 73 des Bundesgesetzes vom 14. Dezember 1990 über die Harmonisierung der direkten Steuern der Kantone und Gemeinden (StHG; SR 642.14) beim Bundesgericht angefochten werden kann. Die Bussenverfügung bleibt somit bestehen.</w:t>
      </w:r>
    </w:p>
    <w:p>
      <w:r>
        <w:rPr>
          <w:b/>
        </w:rPr>
        <w:t>E. 5</w:t>
      </w:r>
    </w:p>
    <w:p>
      <w:r>
        <w:t>Die staatsrechtliche Beschwerde gegen den Kanton Waadt ist daher abzuweisen. Jene gegen den Kanton Thurgau ist gutzuheissen, und der Steuerdomizilentscheid des Steueramtes Weinfelden vom 9. Dezember 2002 sowie die Ermessensveranlagung des Steueramtes Weinfelden vom 19. September 2003 sind aufzuheben. Bei diesem Ausgang hat der Kanton Thurgau die Kosten des Verfahrens vor Bundesgericht zu tragen ( Art. 156 Abs. 1 und 2 OG ). Der Beschwerdeführer, der nicht durch einen Anwalt vertreten ist, hat keinen Anspruch auf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