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2P.211/2000 vom 5. Juni 2001</w:t>
      </w:r>
    </w:p>
    <w:p>
      <w:r>
        <w:t>Bundesgericht, 2001-06-05, DE</w:t>
      </w:r>
    </w:p>
    <w:p>
      <w:r>
        <w:rPr>
          <w:b/>
        </w:rPr>
        <w:t xml:space="preserve">Quelle: </w:t>
      </w:r>
      <w:r>
        <w:t>https://mcp.opencaselaw.ch/entscheid/bger_2P.211_2000</w:t>
      </w:r>
    </w:p>
    <w:p>
      <w:r>
        <w:t>FR: TF 2P.211/2000 du 5 juin 2001</w:t>
      </w:r>
    </w:p>
    <w:p>
      <w:r>
        <w:t>IT: TF 2P.211/2000 del 5 giugno 2001</w:t>
      </w:r>
    </w:p>
    <w:p>
      <w:pPr>
        <w:pStyle w:val="Heading2"/>
      </w:pPr>
      <w:r>
        <w:t>Regeste</w:t>
      </w:r>
    </w:p>
    <w:p>
      <w:r>
        <w:t>Öffentliche Finanzen &amp; Abgaberecht</w:t>
      </w:r>
    </w:p>
    <w:p>
      <w:pPr>
        <w:pStyle w:val="Heading2"/>
      </w:pPr>
      <w:r>
        <w:t>Erwägungen</w:t>
      </w:r>
    </w:p>
    <w:p>
      <w:r>
        <w:rPr>
          <w:b/>
        </w:rPr>
        <w:t>E. 1</w:t>
      </w:r>
    </w:p>
    <w:p>
      <w:r>
        <w:t>a) Das angefochtene Urteil des Verwaltungsgerichts des Kantons Bern ist ein sich auf kantonales Recht stützender letztinstanzlicher kantonaler Endentscheid, gegen den auch im Bund kein anderes Rechtsmittel gegeben ist (Art. 84, 86 Abs. 1 und Art. 87 OG ). Die staatsrechtliche Beschwerde erweist sich somit als zulässig. b) Der Beschwerdeführer wird durch den angefochtenen Entscheid zur Bezahlung einer Geldsumme verpflichtet und ist insoweit in rechtlich geschützten Interessen berührt (vgl. Art. 88 OG ). Auf seine Eingabe ist somit grundsätzlich einzutreten. Die Legitimation ist aber jeweils im Zusammenhang mit den einzelnen von ihm erhobenen Rügen zu prüfen. c) Nach Art. 90 Abs. 1 lit. b OG muss die staatsrechtliche Beschwerde die wesentlichen Tatsachen und eine kurz gefasste Darlegung darüber enthalten, welche verfassungsmässigen Rechte bzw. welche Rechtssätze inwiefern durch den angefochtenen Entscheid verletzt worden sind ( BGE 110 Ia 1 E. 2a S. 3 f. ; 125 I 492 E. 1b S. 495).</w:t>
      </w:r>
    </w:p>
    <w:p>
      <w:r>
        <w:rPr>
          <w:b/>
        </w:rPr>
        <w:t>E. 2</w:t>
      </w:r>
    </w:p>
    <w:p>
      <w:r>
        <w:t>Der Beschwerdeführer rügt in erster Linie eine Verletzung des Prinzips der Gewaltentrennung. Er macht geltend, die Einwohnergemeinde Muri sei zum Erlass der als Rechtsgrundlage der Kostentragungspflicht herangezogenen kommunalen Norm nicht zuständig gewesen; richtigerweise müsste die betreffende Regelung vom kantonalen Gesetzgeber ausgehen. a) Seit jeher hat das Bundesgericht das sämtlichen Kantonsverfassungen zugrunde liegende - und in Art. 51 Abs. 1 BV (vormals Art. 6 Abs. 2 aBV ; vgl. BBl 1997 I 218 sowie Ulrich Häfelin/Walter Haller, Schweizerisches Bundesstaatsrecht,</w:t>
      </w:r>
    </w:p>
    <w:p>
      <w:r>
        <w:rPr>
          <w:b/>
        </w:rPr>
        <w:t>E. 5</w:t>
      </w:r>
    </w:p>
    <w:p>
      <w:r>
        <w:t>Der Beschwerdeführer macht eine Verletzung des Willkürverbots ( Art. 9 BV ) geltend. a) Willkür liegt nach ständiger Rechtsprechung des Bundesgerichts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 BGE 125 II 129 E. 5b S. 134 ; 123 I 1 E. 4a S. 5 ; 122 I 61 E. 3a S. 66 f.). b) Der Beschwerdeführer rügt eine willkürliche Anwendung von Art. 11 OPR. Er behauptet, diese Bestimmung ziele auf rechtswidrige Zustände und Vorrichtungen ab, welche auf entsprechende behördliche Verfügung hin durch die Adressaten beseitigt werden könnten. Weder der Beschwerdeführer noch die Botschaft Griechenlands hätten indessen die Möglichkeit gehabt, den Verkehr selbst zu regeln, weshalb eine Anwendung von Art. 11 OPR auf den vorliegenden Sachverhalt sinnlos und zweckwidrig sei. Art. 11 Abs. 1 OPR spricht von der Beseitigung von "rechtswidrigen Zuständen und Vorrichtungen", welche allenfalls auf dem Wege des Verwaltungszwanges oder der Ersatzvornahme erfolgt, wobei die Ortspolizeibehörde vorgängig eine entsprechende Androhung verfügen kann (Abs. 4). Die Beseitigung des rechtswidrigen Zustandes hätte vorliegend vorab darin bestanden, dass die - als zonenwidrig erkannte - Nutzung des Grundstückes, welche die Verkehrs- und Parkierungsprobleme verursachte, eingestellt wird. Da eine solche (baupolizeiliche) Massnahme aus naheliegenden Gründen nicht bzw. nicht sofort durchgesetzt werden konnte, durfte sich die örtliche Behörde vernünftigerweise zunächst darauf beschränken, durch entsprechende Verkehrsregelung und Anweisungen an die Besucher der Botschaft die Behinderungen des Anwohnerverkehrs und weitere negative Auswirkungen auf die Nachbarschaft in Grenzen zu halten. Wenn die Kostenregelung von Art. 11 Abs. 3 OPR auch für solche indirekte Abwehrmassnahmen als anwendbar betrachtet wurde, liegt hierin kein Verstoss gegen das Willkürverbot, sondern eine zulässige, dem Zweck der Vorschrift entsprechende Auslegung. Dass die in Betracht fallenden Adressaten keine Möglichkeit hatten, das entstandene Verkehrsproblem selber zu lösen, steht dem nicht entgegen. Die kostenpflichtige Ersatzvornahme durch den Staat kann auch dann stattfinden, wenn der primär Pflichtige selber gar nicht in der Lage ist, die gebotenen Massnahmen zu ergreifen (vgl. BGE 122 II 65 E. 6a S. 70; 114 Ib 44 E. 2a S. 47 f. mit Hinweisen). c) Der Beschwerdeführer macht geltend, indem das Verwaltungsgericht ihn als Zustandsstörer bezeichnet habe, sei es in Willkür verfallen. Es sei ihm bei Vertragsabschluss unmöglich gewesen, die durch die Ereignisse im ehemaligen Jugoslawien ausgelöste grosse Nachfrage nach Visa vorauszusehen, welche zu den Verkehrsproblemen im Bereich der Botschaft geführt habe; gebunden durch einen Mietvertrag habe er als Grundeigentümer Dritte nicht am Aufsuchen der Botschaft hindern können. Sodann fehle es an einer Beziehung zwischen dem Zustand der fraglichen Liegenschaft und der Störung des Strassenverkehrs, wobei die zonenwidrige Nutzung nicht als ordnungswidriger und für die Ereignisse kausaler Zustand bezeichnet werden könne. Was die Bestimmung der gemäss Art. 11 Abs. 3 OPR zahlungspflichtigen Verursacher (Veranlasser) sowie der Höhe der Kostenersatzpflicht anbelangt, so durfte sich das Verwaltungsgericht zulässigerweise an die im Störerrecht entwickelten Grundsätze halten und den Beschwerdeführer als Eigentümer der Liegenschaft für einen Teil der Kosten als Zustandsstörer mitbelangen (vgl. BGE 114 Ib 44 E. 2c/aa S. 50 f.; 101 Ib 410 E. 5c S. 416; Urteil des Bundesgerichts vom 15. Juni 1994, in: URP 1994 S. 501 ff., E. 5a/b; vgl. ferner Hans Reinhard, Allgemeines Polizeirecht, Diss. Bern 1993, S. 185 ff., insbesondere S. 187). Dass er die Entwicklung der Dinge nicht voraussehen und gegen die später eingetretenen Verkehrsprobleme selber zunächst nichts unternehmen konnte, ändert nichts. Es genügt, dass er seine Liegenschaft durch einen Mietvertrag für eine Nutzung zur Verfügung gestellt hat, welche sich in der Folge als zonenwidrig erwiesen hat, um als Zustandsstörer ins Recht gefasst werden zu können. Durch die Reduktion seiner Kostenersatzpflicht auf Fr. 3'000.-- hat das Verwaltungsgericht den besonderen Umständen des Falles in vertretbarer Weise Rechnung getragen, womit sein Entscheid auch in diesem Punkt vor dem Willkürverbot standhält (vgl. BGE 107 Ia 19 E. 2b S. 24 f.).</w:t>
      </w:r>
    </w:p>
    <w:p>
      <w:r>
        <w:rPr>
          <w:b/>
        </w:rPr>
        <w:t>E. 6</w:t>
      </w:r>
    </w:p>
    <w:p>
      <w:r>
        <w:t>Der Beschwerdeführer bringt vor, infolge des Vorgehens der Einwohnergemeinde Muri sei er gezwungen, den auf ihn ausgeübten Druck an die griechische Botschaft weiterzugeben und dieser insbesondere den von ihm eingeforderten Kostenersatz weiter zu verrechnen. Insofern verletze das angefochtene Urteil (mittelbar) Art. 25 sowie Art. 27 Abs. 1 Satz 1 des Wiener Übereinkommens vom 18. April 1961 über diplomatische Beziehungen (SR 0.191. 01). Eine Beschwerde wegen Verletzung von Staatsvertragsrecht im Sinne von Art. 84 Abs. 1 lit. c OG ist nur zulässig, wenn die staatsvertragliche Bestimmung, deren Verletzung gerügt wird, direkt anwendbar ist. Das ist dann der Fall, wenn die Norm inhaltlich hinreichend bestimmt und klar ist, um im Einzelfall Grundlage eines Entscheids zu bilden ( BGE 125 I 182 E. 3a S. 190 mit Hinweisen); die Staatsvertragsbeschwerde dient lediglich der Durchsetzung solcher Völkerrechtsnormen, welche die Rechtsstellung des Einzelnen direkt regeln ( BGE 126 I 240 E. 2b S. 242; 120 Ia 1 E. 5b S. 11 mit Hinweisen; Walter Kälin, Das Verfahren der staatsrechtlichen Beschwerde, 2. Auflage, Bern 1994, S. 90 f.). Das Wiener Übereinkommen über diplomatische Beziehungen umschreibt die Vorrechte und Immunitäten der Diplomaten und statuiert namentlich das Prinzip der Unverletzlichkeit der Person von Diplomaten und der Räumlichkeiten diplomatischer Missionen (vgl. die Hinweise bei Jörg Paul Müller/ Luzius Wildhaber, Praxis des Völkerrechts, 3. Auflage, Bern 2001, S. 266-270). Art. 25 des Übereinkommens bestimmt, dass der Empfangsstaat der Mission jede Erleichterung zur Wahrnehmung ihrer Aufgaben gewährt; gemäss Art. 27 Abs. 1 Satz 1 des Übereinkommens gestattet und schützt der Empfangsstaat den freien Verkehr der Mission für alle amtlichen Zwecke. Die in diesen Bestimmungen verankerten Garantien richten sich an die beteiligten Staaten selbst; allfällige sich daraus ergebende Rechte stehen der diplomatischen Mission bzw. dem diplomatischen Personal zu. Als bloss indirekt interessierter Dritter kann sich der Beschwerdeführer nicht auf diese Bestimmungen berufen. Im Übrigen würde es diesen Normen ohnehin an der nötigen Bestimmtheit fehlen. Art. 25 des Übereinkommens ist zu allgemein gefasst, als dass sich eine Mission allein auf diese Klausel berufen könnte (Michael Richtsteig, Wiener Übereinkommen über diplomatische und konsularische Beziehungen, Baden-Baden 1994, Ziff. 2 zu Art. 25, S. 53). Auch kann weder aus Art. 25 noch aus Art. 27 des Übereinkommens ein Recht des Entsendestaates auf reservierte Parkplätze auf öffentlichem Grund für seine diplomatische Mission abgeleitet werden (Gutachten des Eidgenössischen politischen Departements vom 11. April 1972, in: VPB 36/1972 Nr. 27, S. 63 ff.). Insofern kann auch nicht behauptet werden, die Überwälzung von Kosten für die Verkehrsregelung, welche aufgrund des Fehlens ebensolcher Parkierungsmöglichkeiten im Umkreis der Botschaft nötig wurde, stehe im Widerspruch zu den vom Beschwerdeführer angerufenen Bestimmungen. Auf die Rüge der Verletzung der Art. 25 und 27 Abs. 1 Satz 1 des Wiener Übereinkommens über diplomatische Beziehungen ist nach dem Gesagten nicht einzutreten.</w:t>
      </w:r>
    </w:p>
    <w:p>
      <w:r>
        <w:rPr>
          <w:b/>
        </w:rPr>
        <w:t>E. 7</w:t>
      </w:r>
    </w:p>
    <w:p>
      <w:r>
        <w:t>Damit erweist sich die staatsrechtliche Beschwerde, soweit auf sie einzutreten ist, als unbegründet. Bei diesem Ausgang sind die Kosten des Verfahrens dem Beschwerdeführer aufzuerlegen (Art. 156 in Verbindung mit Art. 153 und 153a OG ). Eine Parteientschädigung an die obsiegende Einwohnergemeinde Muri wird nicht zugesprochen ( Art. 159 Abs. 2 OG analog), obschon sie im Verfahren vor Bundesgericht durch einen Anwalt vertreten war, ist sie doch mit über 12'000 Einwohnern nicht mehr als kleine oder mittlere Gemeinde zu bezeichnen (vgl. BGE 125 I 182 E. 7 S. 202; die Einwohnergemeinde Muri betreffend: unveröffentlichte E. 8 von BGE 122 I 328 ).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